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FF" w:rsidRPr="002F6199" w:rsidRDefault="006A4ACD" w:rsidP="002F6199">
      <w:pPr>
        <w:rPr>
          <w:b/>
          <w:lang w:val="en-US"/>
        </w:rPr>
      </w:pPr>
      <w:bookmarkStart w:id="0" w:name="_GoBack"/>
      <w:bookmarkEnd w:id="0"/>
      <w:r w:rsidRPr="002F6199">
        <w:rPr>
          <w:b/>
          <w:lang w:val="en-US"/>
        </w:rPr>
        <w:t>Supplementary</w:t>
      </w:r>
      <w:r w:rsidR="00BF54FF" w:rsidRPr="002F6199">
        <w:rPr>
          <w:b/>
          <w:lang w:val="en-US"/>
        </w:rPr>
        <w:t xml:space="preserve"> material</w:t>
      </w:r>
      <w:r w:rsidR="004E0F66" w:rsidRPr="002F6199">
        <w:rPr>
          <w:b/>
          <w:lang w:val="en-US"/>
        </w:rPr>
        <w:t>s</w:t>
      </w:r>
      <w:r w:rsidR="00BF54FF" w:rsidRPr="002F6199">
        <w:rPr>
          <w:b/>
          <w:lang w:val="en-US"/>
        </w:rPr>
        <w:t xml:space="preserve"> </w:t>
      </w:r>
    </w:p>
    <w:p w:rsidR="00E219D2" w:rsidRPr="002F6199" w:rsidRDefault="00F577F0" w:rsidP="002F6199">
      <w:pPr>
        <w:pStyle w:val="berschrift1"/>
        <w:numPr>
          <w:ilvl w:val="0"/>
          <w:numId w:val="3"/>
        </w:numPr>
        <w:rPr>
          <w:rFonts w:asciiTheme="minorHAnsi" w:hAnsiTheme="minorHAnsi"/>
          <w:szCs w:val="22"/>
          <w:lang w:val="en-US"/>
        </w:rPr>
      </w:pPr>
      <w:r w:rsidRPr="002F6199">
        <w:rPr>
          <w:rFonts w:asciiTheme="minorHAnsi" w:hAnsiTheme="minorHAnsi"/>
          <w:szCs w:val="22"/>
          <w:lang w:val="en-US"/>
        </w:rPr>
        <w:t xml:space="preserve">Using crop data from crop simulation models  </w:t>
      </w:r>
    </w:p>
    <w:p w:rsidR="00E219D2" w:rsidRPr="002F6199" w:rsidRDefault="00862108" w:rsidP="002F6199">
      <w:pPr>
        <w:spacing w:line="360" w:lineRule="auto"/>
        <w:jc w:val="both"/>
        <w:rPr>
          <w:rFonts w:cstheme="minorHAnsi"/>
          <w:lang w:val="en-US"/>
        </w:rPr>
      </w:pPr>
      <w:r w:rsidRPr="002F6199">
        <w:rPr>
          <w:rFonts w:cstheme="minorHAnsi"/>
          <w:lang w:val="en-US"/>
        </w:rPr>
        <w:t>The y</w:t>
      </w:r>
      <w:r w:rsidR="00406F10" w:rsidRPr="002F6199">
        <w:rPr>
          <w:rFonts w:cstheme="minorHAnsi"/>
          <w:lang w:val="en-US"/>
        </w:rPr>
        <w:t xml:space="preserve">ield functions in the bio-economic model are taken from the simulations of </w:t>
      </w:r>
      <w:r w:rsidR="00E219D2" w:rsidRPr="002F6199">
        <w:rPr>
          <w:rFonts w:cstheme="minorHAnsi"/>
          <w:lang w:val="en-US"/>
        </w:rPr>
        <w:t>CropSyst and DSSAT models</w:t>
      </w:r>
      <w:r w:rsidR="00406F10" w:rsidRPr="002F6199">
        <w:rPr>
          <w:rFonts w:cstheme="minorHAnsi"/>
          <w:lang w:val="en-US"/>
        </w:rPr>
        <w:t>. These models</w:t>
      </w:r>
      <w:r w:rsidR="00E219D2" w:rsidRPr="002F6199">
        <w:rPr>
          <w:rFonts w:cstheme="minorHAnsi"/>
          <w:lang w:val="en-US"/>
        </w:rPr>
        <w:t xml:space="preserve"> were calibrated with the data on crop experiments conducted by national research institutes in Central Asia was obtained in order to calibrate the crop simulation models</w:t>
      </w:r>
      <w:r w:rsidR="00B81B7A" w:rsidRPr="002F6199">
        <w:rPr>
          <w:rFonts w:cstheme="minorHAnsi"/>
          <w:lang w:val="en-US"/>
        </w:rPr>
        <w:t xml:space="preserve"> </w:t>
      </w:r>
      <w:r w:rsidR="00B81B7A" w:rsidRPr="002F6199">
        <w:rPr>
          <w:rFonts w:cstheme="minorHAnsi"/>
          <w:lang w:val="en-US"/>
        </w:rPr>
        <w:fldChar w:fldCharType="begin"/>
      </w:r>
      <w:r w:rsidR="00B81B7A" w:rsidRPr="002F6199">
        <w:rPr>
          <w:rFonts w:cstheme="minorHAnsi"/>
          <w:lang w:val="en-US"/>
        </w:rPr>
        <w:instrText xml:space="preserve"> ADDIN EN.CITE &lt;EndNote&gt;&lt;Cite&gt;&lt;Author&gt;Sommer&lt;/Author&gt;&lt;Year&gt;2012&lt;/Year&gt;&lt;RecNum&gt;141&lt;/RecNum&gt;&lt;DisplayText&gt;(Kato and Nkonya, 2012; Sommer&lt;style face="italic"&gt; et al.&lt;/style&gt;, 2012)&lt;/DisplayText&gt;&lt;record&gt;&lt;rec-number&gt;141&lt;/rec-number&gt;&lt;foreign-keys&gt;&lt;key app="EN" db-id="0erxvrzsjv5szqefaesv09e4awxs2t5saw90"&gt;141&lt;/key&gt;&lt;/foreign-keys&gt;&lt;ref-type name="Unpublished Work"&gt;34&lt;/ref-type&gt;&lt;contributors&gt;&lt;authors&gt;&lt;author&gt;Sommer, R.&lt;/author&gt;&lt;author&gt;Glazirina, M.&lt;/author&gt;&lt;author&gt;Yuldashev, T.&lt;/author&gt;&lt;/authors&gt;&lt;/contributors&gt;&lt;titles&gt;&lt;title&gt;Impact of Climate Change on rural livelihood in Central Asia –  Component 1: “Assessing the vulnerability of selected agro-ecosystems in Central Asia to threats resulting from climate change – production and productivity of wheat. &lt;/title&gt;&lt;secondary-title&gt;Adaptation to Climate Change in Central Asia and People’s Republic of China&lt;/secondary-title&gt;&lt;/titles&gt;&lt;dates&gt;&lt;year&gt;2012&lt;/year&gt;&lt;/dates&gt;&lt;pub-location&gt;Aleppo&lt;/pub-location&gt;&lt;publisher&gt;ICARDA&lt;/publisher&gt;&lt;urls&gt;&lt;/urls&gt;&lt;/record&gt;&lt;/Cite&gt;&lt;Cite&gt;&lt;Author&gt;Kato&lt;/Author&gt;&lt;Year&gt;2012&lt;/Year&gt;&lt;RecNum&gt;131&lt;/RecNum&gt;&lt;record&gt;&lt;rec-number&gt;131&lt;/rec-number&gt;&lt;foreign-keys&gt;&lt;key app="EN" db-id="0erxvrzsjv5szqefaesv09e4awxs2t5saw90"&gt;131&lt;/key&gt;&lt;/foreign-keys&gt;&lt;ref-type name="Unpublished Work"&gt;34&lt;/ref-type&gt;&lt;contributors&gt;&lt;authors&gt;&lt;author&gt;Kato, E.&lt;/author&gt;&lt;author&gt;Nkonya, E.&lt;/author&gt;&lt;/authors&gt;&lt;/contributors&gt;&lt;titles&gt;&lt;title&gt;DSSAT model for cotton and potato &lt;/title&gt;&lt;/titles&gt;&lt;dates&gt;&lt;year&gt;2012&lt;/year&gt;&lt;/dates&gt;&lt;pub-location&gt;Aleppo&lt;/pub-location&gt;&lt;publisher&gt;ICARDA&lt;/publisher&gt;&lt;urls&gt;&lt;/urls&gt;&lt;/record&gt;&lt;/Cite&gt;&lt;/EndNote&gt;</w:instrText>
      </w:r>
      <w:r w:rsidR="00B81B7A" w:rsidRPr="002F6199">
        <w:rPr>
          <w:rFonts w:cstheme="minorHAnsi"/>
          <w:lang w:val="en-US"/>
        </w:rPr>
        <w:fldChar w:fldCharType="separate"/>
      </w:r>
      <w:r w:rsidR="00B81B7A" w:rsidRPr="002F6199">
        <w:rPr>
          <w:rFonts w:cstheme="minorHAnsi"/>
          <w:noProof/>
          <w:lang w:val="en-US"/>
        </w:rPr>
        <w:t>(</w:t>
      </w:r>
      <w:hyperlink w:anchor="_ENREF_10" w:tooltip="Kato, 2012 #131" w:history="1">
        <w:r w:rsidR="007C49FB" w:rsidRPr="002F6199">
          <w:rPr>
            <w:rFonts w:cstheme="minorHAnsi"/>
            <w:noProof/>
            <w:lang w:val="en-US"/>
          </w:rPr>
          <w:t>Kato and Nkonya, 2012</w:t>
        </w:r>
      </w:hyperlink>
      <w:r w:rsidR="00B81B7A" w:rsidRPr="002F6199">
        <w:rPr>
          <w:rFonts w:cstheme="minorHAnsi"/>
          <w:noProof/>
          <w:lang w:val="en-US"/>
        </w:rPr>
        <w:t xml:space="preserve">; </w:t>
      </w:r>
      <w:hyperlink w:anchor="_ENREF_12" w:tooltip="Sommer, 2012 #141" w:history="1">
        <w:r w:rsidR="007C49FB" w:rsidRPr="002F6199">
          <w:rPr>
            <w:rFonts w:cstheme="minorHAnsi"/>
            <w:noProof/>
            <w:lang w:val="en-US"/>
          </w:rPr>
          <w:t>Sommer</w:t>
        </w:r>
        <w:r w:rsidR="007C49FB" w:rsidRPr="002F6199">
          <w:rPr>
            <w:rFonts w:cstheme="minorHAnsi"/>
            <w:i/>
            <w:noProof/>
            <w:lang w:val="en-US"/>
          </w:rPr>
          <w:t xml:space="preserve"> et al.</w:t>
        </w:r>
        <w:r w:rsidR="007C49FB" w:rsidRPr="002F6199">
          <w:rPr>
            <w:rFonts w:cstheme="minorHAnsi"/>
            <w:noProof/>
            <w:lang w:val="en-US"/>
          </w:rPr>
          <w:t>, 2012</w:t>
        </w:r>
      </w:hyperlink>
      <w:r w:rsidR="00B81B7A" w:rsidRPr="002F6199">
        <w:rPr>
          <w:rFonts w:cstheme="minorHAnsi"/>
          <w:noProof/>
          <w:lang w:val="en-US"/>
        </w:rPr>
        <w:t>)</w:t>
      </w:r>
      <w:r w:rsidR="00B81B7A" w:rsidRPr="002F6199">
        <w:rPr>
          <w:rFonts w:cstheme="minorHAnsi"/>
          <w:lang w:val="en-US"/>
        </w:rPr>
        <w:fldChar w:fldCharType="end"/>
      </w:r>
      <w:r w:rsidR="00E219D2" w:rsidRPr="002F6199">
        <w:rPr>
          <w:rFonts w:cstheme="minorHAnsi"/>
          <w:lang w:val="en-US"/>
        </w:rPr>
        <w:t>. The location of the calibration sites is provided in Figure SM1.</w:t>
      </w:r>
    </w:p>
    <w:p w:rsidR="00E219D2" w:rsidRPr="002F6199" w:rsidRDefault="00E219D2" w:rsidP="002F6199">
      <w:pPr>
        <w:spacing w:line="360" w:lineRule="auto"/>
        <w:jc w:val="both"/>
        <w:rPr>
          <w:rFonts w:cstheme="minorHAnsi"/>
          <w:lang w:val="en-US"/>
        </w:rPr>
      </w:pPr>
      <w:r w:rsidRPr="002F6199">
        <w:rPr>
          <w:rFonts w:cstheme="minorHAnsi"/>
          <w:lang w:val="en-US"/>
        </w:rPr>
        <w:t xml:space="preserve">The low input use management option in the case of wheat may indicate fertilizer usage with the range of 0-80 kg and irrigation water use in range of 0-120 mm depending on the farming system.  For example, farmers in northern Kazakhstan do not irrigate crops (rainfed based) and use very limited nitrogen fertilizer. In contrast farmers in western Uzbekistan use very high amounts of irrigation water and fertilizer. This information was obtained from farm survey results as well as secondary data sources and expert interviews and was considered in crop simulation models. The crop simulation models were calibrated based on the field level experimental data as well as with the input use data from the household surveys. </w:t>
      </w:r>
    </w:p>
    <w:p w:rsidR="00787DDA" w:rsidRPr="002F6199" w:rsidRDefault="00E219D2" w:rsidP="002F6199">
      <w:pPr>
        <w:pStyle w:val="Beschriftung"/>
        <w:rPr>
          <w:rFonts w:asciiTheme="minorHAnsi" w:hAnsiTheme="minorHAnsi" w:cstheme="minorHAnsi"/>
          <w:bCs w:val="0"/>
          <w:sz w:val="22"/>
          <w:szCs w:val="22"/>
          <w:lang w:val="en-US"/>
        </w:rPr>
      </w:pPr>
      <w:r w:rsidRPr="002F6199">
        <w:rPr>
          <w:rFonts w:asciiTheme="minorHAnsi" w:hAnsiTheme="minorHAnsi" w:cstheme="minorHAnsi"/>
          <w:bCs w:val="0"/>
          <w:sz w:val="22"/>
          <w:szCs w:val="22"/>
          <w:lang w:val="en-US"/>
        </w:rPr>
        <w:t>Table</w:t>
      </w:r>
      <w:r w:rsidR="004E0F66" w:rsidRPr="002F6199">
        <w:rPr>
          <w:rFonts w:asciiTheme="minorHAnsi" w:hAnsiTheme="minorHAnsi" w:cstheme="minorHAnsi"/>
          <w:bCs w:val="0"/>
          <w:sz w:val="22"/>
          <w:szCs w:val="22"/>
          <w:lang w:val="en-US"/>
        </w:rPr>
        <w:t xml:space="preserve"> SM1</w:t>
      </w:r>
    </w:p>
    <w:p w:rsidR="00E219D2" w:rsidRPr="002F6199" w:rsidRDefault="00E219D2" w:rsidP="002F6199">
      <w:pPr>
        <w:pStyle w:val="Beschriftung"/>
        <w:rPr>
          <w:rFonts w:asciiTheme="minorHAnsi" w:hAnsiTheme="minorHAnsi" w:cstheme="minorHAnsi"/>
          <w:b w:val="0"/>
          <w:bCs w:val="0"/>
          <w:sz w:val="22"/>
          <w:szCs w:val="22"/>
          <w:lang w:val="en-US"/>
        </w:rPr>
      </w:pPr>
      <w:r w:rsidRPr="002F6199">
        <w:rPr>
          <w:rFonts w:asciiTheme="minorHAnsi" w:hAnsiTheme="minorHAnsi" w:cstheme="minorHAnsi"/>
          <w:b w:val="0"/>
          <w:bCs w:val="0"/>
          <w:sz w:val="22"/>
          <w:szCs w:val="22"/>
          <w:lang w:val="en-US"/>
        </w:rPr>
        <w:t xml:space="preserve">Crop management options </w:t>
      </w:r>
    </w:p>
    <w:tbl>
      <w:tblPr>
        <w:tblW w:w="9148" w:type="dxa"/>
        <w:tblInd w:w="94" w:type="dxa"/>
        <w:tblLook w:val="04A0" w:firstRow="1" w:lastRow="0" w:firstColumn="1" w:lastColumn="0" w:noHBand="0" w:noVBand="1"/>
      </w:tblPr>
      <w:tblGrid>
        <w:gridCol w:w="2141"/>
        <w:gridCol w:w="1275"/>
        <w:gridCol w:w="5732"/>
      </w:tblGrid>
      <w:tr w:rsidR="00E219D2" w:rsidRPr="002F6199" w:rsidTr="00787DDA">
        <w:trPr>
          <w:trHeight w:val="300"/>
        </w:trPr>
        <w:tc>
          <w:tcPr>
            <w:tcW w:w="2141" w:type="dxa"/>
            <w:tcBorders>
              <w:top w:val="single" w:sz="4" w:space="0" w:color="auto"/>
              <w:bottom w:val="single" w:sz="4" w:space="0" w:color="auto"/>
            </w:tcBorders>
            <w:shd w:val="clear" w:color="auto" w:fill="auto"/>
            <w:noWrap/>
            <w:vAlign w:val="bottom"/>
            <w:hideMark/>
          </w:tcPr>
          <w:p w:rsidR="00E219D2" w:rsidRPr="002F6199" w:rsidRDefault="00E219D2" w:rsidP="002F6199">
            <w:pPr>
              <w:jc w:val="both"/>
              <w:rPr>
                <w:rFonts w:cstheme="minorHAnsi"/>
                <w:color w:val="000000"/>
              </w:rPr>
            </w:pPr>
            <w:r w:rsidRPr="002F6199">
              <w:rPr>
                <w:rFonts w:cstheme="minorHAnsi"/>
                <w:color w:val="000000"/>
              </w:rPr>
              <w:t>Management options</w:t>
            </w:r>
          </w:p>
        </w:tc>
        <w:tc>
          <w:tcPr>
            <w:tcW w:w="1275" w:type="dxa"/>
            <w:tcBorders>
              <w:top w:val="single" w:sz="4" w:space="0" w:color="auto"/>
              <w:bottom w:val="single" w:sz="4" w:space="0" w:color="auto"/>
            </w:tcBorders>
            <w:shd w:val="clear" w:color="auto" w:fill="auto"/>
            <w:noWrap/>
            <w:vAlign w:val="bottom"/>
            <w:hideMark/>
          </w:tcPr>
          <w:p w:rsidR="00E219D2" w:rsidRPr="002F6199" w:rsidRDefault="00E219D2" w:rsidP="002F6199">
            <w:pPr>
              <w:jc w:val="both"/>
              <w:rPr>
                <w:rFonts w:cstheme="minorHAnsi"/>
                <w:color w:val="000000"/>
              </w:rPr>
            </w:pPr>
            <w:r w:rsidRPr="002F6199">
              <w:rPr>
                <w:rFonts w:cstheme="minorHAnsi"/>
                <w:color w:val="000000"/>
              </w:rPr>
              <w:t>crop</w:t>
            </w:r>
          </w:p>
        </w:tc>
        <w:tc>
          <w:tcPr>
            <w:tcW w:w="5732" w:type="dxa"/>
            <w:tcBorders>
              <w:top w:val="single" w:sz="4" w:space="0" w:color="auto"/>
              <w:bottom w:val="single" w:sz="4" w:space="0" w:color="auto"/>
            </w:tcBorders>
            <w:shd w:val="clear" w:color="auto" w:fill="auto"/>
            <w:noWrap/>
            <w:vAlign w:val="bottom"/>
            <w:hideMark/>
          </w:tcPr>
          <w:p w:rsidR="00E219D2" w:rsidRPr="002F6199" w:rsidRDefault="00E219D2" w:rsidP="002F6199">
            <w:pPr>
              <w:jc w:val="both"/>
              <w:rPr>
                <w:rFonts w:cstheme="minorHAnsi"/>
                <w:color w:val="000000"/>
              </w:rPr>
            </w:pPr>
            <w:r w:rsidRPr="002F6199">
              <w:rPr>
                <w:rFonts w:cstheme="minorHAnsi"/>
                <w:color w:val="000000"/>
              </w:rPr>
              <w:t>Description</w:t>
            </w:r>
          </w:p>
        </w:tc>
      </w:tr>
      <w:tr w:rsidR="00E219D2" w:rsidRPr="002F6199" w:rsidTr="00787DDA">
        <w:trPr>
          <w:trHeight w:val="492"/>
        </w:trPr>
        <w:tc>
          <w:tcPr>
            <w:tcW w:w="2141" w:type="dxa"/>
            <w:tcBorders>
              <w:top w:val="single" w:sz="4" w:space="0" w:color="auto"/>
            </w:tcBorders>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Low  input levels</w:t>
            </w:r>
          </w:p>
        </w:tc>
        <w:tc>
          <w:tcPr>
            <w:tcW w:w="1275" w:type="dxa"/>
            <w:tcBorders>
              <w:top w:val="single" w:sz="4" w:space="0" w:color="auto"/>
            </w:tcBorders>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wheat</w:t>
            </w:r>
          </w:p>
        </w:tc>
        <w:tc>
          <w:tcPr>
            <w:tcW w:w="5732" w:type="dxa"/>
            <w:tcBorders>
              <w:top w:val="single" w:sz="4" w:space="0" w:color="auto"/>
            </w:tcBorders>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0-80 kg ha</w:t>
            </w:r>
            <w:r w:rsidRPr="002F6199">
              <w:rPr>
                <w:rFonts w:cstheme="minorHAnsi"/>
                <w:color w:val="000000"/>
                <w:vertAlign w:val="superscript"/>
                <w:lang w:val="en-US"/>
              </w:rPr>
              <w:t xml:space="preserve">-1 </w:t>
            </w:r>
            <w:r w:rsidRPr="002F6199">
              <w:rPr>
                <w:rFonts w:cstheme="minorHAnsi"/>
                <w:color w:val="000000"/>
                <w:lang w:val="en-US"/>
              </w:rPr>
              <w:t>of fertilizer, 0-120 mm of irrigation water depending on AEZ (without irrigation under rainfed conditions)</w:t>
            </w:r>
          </w:p>
        </w:tc>
      </w:tr>
      <w:tr w:rsidR="00E219D2" w:rsidRPr="002F6199" w:rsidTr="00787DDA">
        <w:trPr>
          <w:trHeight w:val="300"/>
        </w:trPr>
        <w:tc>
          <w:tcPr>
            <w:tcW w:w="2141"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 </w:t>
            </w:r>
          </w:p>
        </w:tc>
        <w:tc>
          <w:tcPr>
            <w:tcW w:w="1275"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cotton</w:t>
            </w:r>
          </w:p>
        </w:tc>
        <w:tc>
          <w:tcPr>
            <w:tcW w:w="5732"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100-120 kg ha</w:t>
            </w:r>
            <w:r w:rsidRPr="002F6199">
              <w:rPr>
                <w:rFonts w:cstheme="minorHAnsi"/>
                <w:color w:val="000000"/>
                <w:vertAlign w:val="superscript"/>
                <w:lang w:val="en-US"/>
              </w:rPr>
              <w:t xml:space="preserve">-1 </w:t>
            </w:r>
            <w:r w:rsidRPr="002F6199">
              <w:rPr>
                <w:rFonts w:cstheme="minorHAnsi"/>
                <w:color w:val="000000"/>
                <w:lang w:val="en-US"/>
              </w:rPr>
              <w:t>fertilizer depending on AEZ</w:t>
            </w:r>
          </w:p>
        </w:tc>
      </w:tr>
      <w:tr w:rsidR="00E219D2" w:rsidRPr="002F6199" w:rsidTr="00787DDA">
        <w:trPr>
          <w:trHeight w:val="300"/>
        </w:trPr>
        <w:tc>
          <w:tcPr>
            <w:tcW w:w="2141"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 </w:t>
            </w:r>
          </w:p>
        </w:tc>
        <w:tc>
          <w:tcPr>
            <w:tcW w:w="1275"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potato</w:t>
            </w:r>
          </w:p>
        </w:tc>
        <w:tc>
          <w:tcPr>
            <w:tcW w:w="5732"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100-120 kg ha</w:t>
            </w:r>
            <w:r w:rsidRPr="002F6199">
              <w:rPr>
                <w:rFonts w:cstheme="minorHAnsi"/>
                <w:color w:val="000000"/>
                <w:vertAlign w:val="superscript"/>
                <w:lang w:val="en-US"/>
              </w:rPr>
              <w:t xml:space="preserve">-1 </w:t>
            </w:r>
            <w:r w:rsidRPr="002F6199">
              <w:rPr>
                <w:rFonts w:cstheme="minorHAnsi"/>
                <w:color w:val="000000"/>
                <w:lang w:val="en-US"/>
              </w:rPr>
              <w:t>fertilizer depending on AEZ</w:t>
            </w:r>
          </w:p>
        </w:tc>
      </w:tr>
      <w:tr w:rsidR="00E219D2" w:rsidRPr="002F6199" w:rsidTr="00787DDA">
        <w:trPr>
          <w:trHeight w:val="600"/>
        </w:trPr>
        <w:tc>
          <w:tcPr>
            <w:tcW w:w="2141"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Average input levels</w:t>
            </w:r>
          </w:p>
        </w:tc>
        <w:tc>
          <w:tcPr>
            <w:tcW w:w="1275"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wheat</w:t>
            </w:r>
          </w:p>
        </w:tc>
        <w:tc>
          <w:tcPr>
            <w:tcW w:w="5732" w:type="dxa"/>
            <w:shd w:val="clear" w:color="auto" w:fill="auto"/>
            <w:hideMark/>
          </w:tcPr>
          <w:p w:rsidR="00E219D2" w:rsidRPr="002F6199" w:rsidRDefault="00E219D2" w:rsidP="002F6199">
            <w:pPr>
              <w:jc w:val="both"/>
              <w:rPr>
                <w:rFonts w:cstheme="minorHAnsi"/>
                <w:color w:val="000000"/>
                <w:lang w:val="en-US"/>
              </w:rPr>
            </w:pPr>
            <w:r w:rsidRPr="002F6199">
              <w:rPr>
                <w:rFonts w:cstheme="minorHAnsi"/>
                <w:color w:val="000000"/>
                <w:lang w:val="en-US"/>
              </w:rPr>
              <w:t xml:space="preserve">25-30% more fertilizer (depending on the country), 30-50% more water than  low input level management option </w:t>
            </w:r>
          </w:p>
        </w:tc>
      </w:tr>
      <w:tr w:rsidR="00E219D2" w:rsidRPr="002F6199" w:rsidTr="00787DDA">
        <w:trPr>
          <w:trHeight w:val="300"/>
        </w:trPr>
        <w:tc>
          <w:tcPr>
            <w:tcW w:w="2141"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 </w:t>
            </w:r>
          </w:p>
        </w:tc>
        <w:tc>
          <w:tcPr>
            <w:tcW w:w="1275"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cotton</w:t>
            </w:r>
          </w:p>
        </w:tc>
        <w:tc>
          <w:tcPr>
            <w:tcW w:w="5732"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5 tons ha</w:t>
            </w:r>
            <w:r w:rsidRPr="002F6199">
              <w:rPr>
                <w:rFonts w:cstheme="minorHAnsi"/>
                <w:color w:val="000000"/>
                <w:vertAlign w:val="superscript"/>
                <w:lang w:val="en-US"/>
              </w:rPr>
              <w:t>-1</w:t>
            </w:r>
            <w:r w:rsidRPr="002F6199">
              <w:rPr>
                <w:rFonts w:cstheme="minorHAnsi"/>
                <w:color w:val="000000"/>
                <w:lang w:val="en-US"/>
              </w:rPr>
              <w:t xml:space="preserve">of organic fertilizer </w:t>
            </w:r>
          </w:p>
        </w:tc>
      </w:tr>
      <w:tr w:rsidR="00E219D2" w:rsidRPr="002F6199" w:rsidTr="00787DDA">
        <w:trPr>
          <w:trHeight w:val="300"/>
        </w:trPr>
        <w:tc>
          <w:tcPr>
            <w:tcW w:w="2141"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 </w:t>
            </w:r>
          </w:p>
        </w:tc>
        <w:tc>
          <w:tcPr>
            <w:tcW w:w="1275"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potato</w:t>
            </w:r>
          </w:p>
        </w:tc>
        <w:tc>
          <w:tcPr>
            <w:tcW w:w="5732" w:type="dxa"/>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5 tons ha</w:t>
            </w:r>
            <w:r w:rsidRPr="002F6199">
              <w:rPr>
                <w:rFonts w:cstheme="minorHAnsi"/>
                <w:color w:val="000000"/>
                <w:vertAlign w:val="superscript"/>
                <w:lang w:val="en-US"/>
              </w:rPr>
              <w:t>-1</w:t>
            </w:r>
            <w:r w:rsidRPr="002F6199">
              <w:rPr>
                <w:rFonts w:cstheme="minorHAnsi"/>
                <w:color w:val="000000"/>
                <w:lang w:val="en-US"/>
              </w:rPr>
              <w:t xml:space="preserve">of organic fertilizer </w:t>
            </w:r>
          </w:p>
        </w:tc>
      </w:tr>
      <w:tr w:rsidR="00E219D2" w:rsidRPr="002F6199" w:rsidTr="00787DDA">
        <w:trPr>
          <w:trHeight w:val="600"/>
        </w:trPr>
        <w:tc>
          <w:tcPr>
            <w:tcW w:w="2141"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High input levels</w:t>
            </w:r>
          </w:p>
        </w:tc>
        <w:tc>
          <w:tcPr>
            <w:tcW w:w="1275" w:type="dxa"/>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wheat</w:t>
            </w:r>
          </w:p>
        </w:tc>
        <w:tc>
          <w:tcPr>
            <w:tcW w:w="5732" w:type="dxa"/>
            <w:shd w:val="clear" w:color="auto" w:fill="auto"/>
            <w:hideMark/>
          </w:tcPr>
          <w:p w:rsidR="00E219D2" w:rsidRPr="002F6199" w:rsidRDefault="00E219D2" w:rsidP="002F6199">
            <w:pPr>
              <w:jc w:val="both"/>
              <w:rPr>
                <w:rFonts w:cstheme="minorHAnsi"/>
                <w:color w:val="000000"/>
                <w:lang w:val="en-US"/>
              </w:rPr>
            </w:pPr>
            <w:r w:rsidRPr="002F6199">
              <w:rPr>
                <w:rFonts w:cstheme="minorHAnsi"/>
                <w:color w:val="000000"/>
                <w:lang w:val="en-US"/>
              </w:rPr>
              <w:t xml:space="preserve">40-50% more fertilizer (depending on a country), 60-70% more water than  low input management option </w:t>
            </w:r>
          </w:p>
        </w:tc>
      </w:tr>
      <w:tr w:rsidR="00E219D2" w:rsidRPr="002F6199" w:rsidTr="00787DDA">
        <w:trPr>
          <w:trHeight w:val="300"/>
        </w:trPr>
        <w:tc>
          <w:tcPr>
            <w:tcW w:w="2141" w:type="dxa"/>
            <w:tcBorders>
              <w:bottom w:val="single" w:sz="4" w:space="0" w:color="auto"/>
            </w:tcBorders>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 </w:t>
            </w:r>
          </w:p>
        </w:tc>
        <w:tc>
          <w:tcPr>
            <w:tcW w:w="1275" w:type="dxa"/>
            <w:tcBorders>
              <w:bottom w:val="single" w:sz="4" w:space="0" w:color="auto"/>
            </w:tcBorders>
            <w:shd w:val="clear" w:color="auto" w:fill="auto"/>
            <w:noWrap/>
            <w:hideMark/>
          </w:tcPr>
          <w:p w:rsidR="00E219D2" w:rsidRPr="002F6199" w:rsidRDefault="00E219D2" w:rsidP="002F6199">
            <w:pPr>
              <w:jc w:val="both"/>
              <w:rPr>
                <w:rFonts w:cstheme="minorHAnsi"/>
                <w:color w:val="000000"/>
              </w:rPr>
            </w:pPr>
            <w:r w:rsidRPr="002F6199">
              <w:rPr>
                <w:rFonts w:cstheme="minorHAnsi"/>
                <w:color w:val="000000"/>
              </w:rPr>
              <w:t>cotton</w:t>
            </w:r>
          </w:p>
        </w:tc>
        <w:tc>
          <w:tcPr>
            <w:tcW w:w="5732" w:type="dxa"/>
            <w:tcBorders>
              <w:bottom w:val="single" w:sz="4" w:space="0" w:color="auto"/>
            </w:tcBorders>
            <w:shd w:val="clear" w:color="auto" w:fill="auto"/>
            <w:noWrap/>
            <w:hideMark/>
          </w:tcPr>
          <w:p w:rsidR="00E219D2" w:rsidRPr="002F6199" w:rsidRDefault="00E219D2" w:rsidP="002F6199">
            <w:pPr>
              <w:jc w:val="both"/>
              <w:rPr>
                <w:rFonts w:cstheme="minorHAnsi"/>
                <w:color w:val="000000"/>
                <w:lang w:val="en-US"/>
              </w:rPr>
            </w:pPr>
            <w:r w:rsidRPr="002F6199">
              <w:rPr>
                <w:rFonts w:cstheme="minorHAnsi"/>
                <w:color w:val="000000"/>
                <w:lang w:val="en-US"/>
              </w:rPr>
              <w:t>50% more fertilizer than low input level management option</w:t>
            </w:r>
          </w:p>
        </w:tc>
      </w:tr>
    </w:tbl>
    <w:p w:rsidR="00E219D2" w:rsidRPr="002F6199" w:rsidRDefault="00E219D2" w:rsidP="002F6199">
      <w:pPr>
        <w:rPr>
          <w:b/>
          <w:lang w:val="en-US"/>
        </w:rPr>
      </w:pPr>
    </w:p>
    <w:p w:rsidR="00BF54FF" w:rsidRPr="002F6199" w:rsidRDefault="00BF54FF" w:rsidP="002F6199">
      <w:pPr>
        <w:rPr>
          <w:lang w:val="en-US"/>
        </w:rPr>
      </w:pPr>
      <w:r w:rsidRPr="002F6199">
        <w:rPr>
          <w:noProof/>
          <w:lang w:eastAsia="de-DE"/>
        </w:rPr>
        <w:drawing>
          <wp:inline distT="0" distB="0" distL="0" distR="0" wp14:anchorId="029CDF71" wp14:editId="5734ABAB">
            <wp:extent cx="5731510" cy="4428728"/>
            <wp:effectExtent l="0" t="0" r="2540" b="0"/>
            <wp:docPr id="4" name="Picture 9" descr="aridiy_classes_GPS_cr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ridiy_classes_GPS_crops.jpg"/>
                    <pic:cNvPicPr>
                      <a:picLocks noChangeAspect="1"/>
                    </pic:cNvPicPr>
                  </pic:nvPicPr>
                  <pic:blipFill>
                    <a:blip r:embed="rId9"/>
                    <a:stretch>
                      <a:fillRect/>
                    </a:stretch>
                  </pic:blipFill>
                  <pic:spPr>
                    <a:xfrm>
                      <a:off x="0" y="0"/>
                      <a:ext cx="5731510" cy="4428728"/>
                    </a:xfrm>
                    <a:prstGeom prst="rect">
                      <a:avLst/>
                    </a:prstGeom>
                  </pic:spPr>
                </pic:pic>
              </a:graphicData>
            </a:graphic>
          </wp:inline>
        </w:drawing>
      </w:r>
    </w:p>
    <w:p w:rsidR="00E219D2" w:rsidRPr="002F6199" w:rsidRDefault="00E219D2" w:rsidP="002F6199">
      <w:pPr>
        <w:rPr>
          <w:b/>
          <w:lang w:val="en-US"/>
        </w:rPr>
      </w:pPr>
      <w:r w:rsidRPr="002F6199">
        <w:rPr>
          <w:b/>
          <w:lang w:val="en-US"/>
        </w:rPr>
        <w:t>Fig</w:t>
      </w:r>
      <w:r w:rsidR="00C90AF1" w:rsidRPr="002F6199">
        <w:rPr>
          <w:b/>
          <w:lang w:val="en-US"/>
        </w:rPr>
        <w:t>.</w:t>
      </w:r>
      <w:r w:rsidRPr="002F6199">
        <w:rPr>
          <w:b/>
          <w:lang w:val="en-US"/>
        </w:rPr>
        <w:t xml:space="preserve"> SM1</w:t>
      </w:r>
      <w:r w:rsidR="00C90AF1" w:rsidRPr="002F6199">
        <w:rPr>
          <w:b/>
          <w:lang w:val="en-US"/>
        </w:rPr>
        <w:t>.</w:t>
      </w:r>
      <w:r w:rsidRPr="002F6199">
        <w:rPr>
          <w:b/>
          <w:lang w:val="en-US"/>
        </w:rPr>
        <w:t xml:space="preserve"> </w:t>
      </w:r>
      <w:r w:rsidRPr="002F6199">
        <w:rPr>
          <w:lang w:val="en-US"/>
        </w:rPr>
        <w:t>The location of the crop experimental stations</w:t>
      </w:r>
    </w:p>
    <w:p w:rsidR="00E219D2" w:rsidRPr="002F6199" w:rsidRDefault="00E219D2" w:rsidP="002F6199">
      <w:pPr>
        <w:rPr>
          <w:i/>
          <w:lang w:val="en-US"/>
        </w:rPr>
      </w:pPr>
      <w:r w:rsidRPr="002F6199">
        <w:rPr>
          <w:i/>
          <w:lang w:val="en-US"/>
        </w:rPr>
        <w:t>Source: Illustrated based on</w:t>
      </w:r>
      <w:r w:rsidR="00B81B7A" w:rsidRPr="002F6199">
        <w:rPr>
          <w:i/>
          <w:lang w:val="en-US"/>
        </w:rPr>
        <w:t xml:space="preserve"> </w:t>
      </w:r>
      <w:r w:rsidR="00B81B7A" w:rsidRPr="002F6199">
        <w:rPr>
          <w:i/>
          <w:lang w:val="en-US"/>
        </w:rPr>
        <w:fldChar w:fldCharType="begin"/>
      </w:r>
      <w:r w:rsidR="00B81B7A" w:rsidRPr="002F6199">
        <w:rPr>
          <w:i/>
          <w:lang w:val="en-US"/>
        </w:rPr>
        <w:instrText xml:space="preserve"> ADDIN EN.CITE &lt;EndNote&gt;&lt;Cite AuthorYear="1"&gt;&lt;Author&gt;Sommer&lt;/Author&gt;&lt;Year&gt;2012&lt;/Year&gt;&lt;RecNum&gt;141&lt;/RecNum&gt;&lt;DisplayText&gt;Sommer&lt;style face="italic"&gt; et al.&lt;/style&gt; (2012)&lt;/DisplayText&gt;&lt;record&gt;&lt;rec-number&gt;141&lt;/rec-number&gt;&lt;foreign-keys&gt;&lt;key app="EN" db-id="0erxvrzsjv5szqefaesv09e4awxs2t5saw90"&gt;141&lt;/key&gt;&lt;/foreign-keys&gt;&lt;ref-type name="Unpublished Work"&gt;34&lt;/ref-type&gt;&lt;contributors&gt;&lt;authors&gt;&lt;author&gt;Sommer, R.&lt;/author&gt;&lt;author&gt;Glazirina, M.&lt;/author&gt;&lt;author&gt;Yuldashev, T.&lt;/author&gt;&lt;/authors&gt;&lt;/contributors&gt;&lt;titles&gt;&lt;title&gt;Impact of Climate Change on rural livelihood in Central Asia –  Component 1: “Assessing the vulnerability of selected agro-ecosystems in Central Asia to threats resulting from climate change – production and productivity of wheat. &lt;/title&gt;&lt;secondary-title&gt;Adaptation to Climate Change in Central Asia and People’s Republic of China&lt;/secondary-title&gt;&lt;/titles&gt;&lt;dates&gt;&lt;year&gt;2012&lt;/year&gt;&lt;/dates&gt;&lt;pub-location&gt;Aleppo&lt;/pub-location&gt;&lt;publisher&gt;ICARDA&lt;/publisher&gt;&lt;urls&gt;&lt;/urls&gt;&lt;/record&gt;&lt;/Cite&gt;&lt;/EndNote&gt;</w:instrText>
      </w:r>
      <w:r w:rsidR="00B81B7A" w:rsidRPr="002F6199">
        <w:rPr>
          <w:i/>
          <w:lang w:val="en-US"/>
        </w:rPr>
        <w:fldChar w:fldCharType="separate"/>
      </w:r>
      <w:hyperlink w:anchor="_ENREF_12" w:tooltip="Sommer, 2012 #141" w:history="1">
        <w:r w:rsidR="007C49FB" w:rsidRPr="002F6199">
          <w:rPr>
            <w:i/>
            <w:noProof/>
            <w:lang w:val="en-US"/>
          </w:rPr>
          <w:t>Sommer et al. (2012</w:t>
        </w:r>
      </w:hyperlink>
      <w:r w:rsidR="00B81B7A" w:rsidRPr="002F6199">
        <w:rPr>
          <w:i/>
          <w:noProof/>
          <w:lang w:val="en-US"/>
        </w:rPr>
        <w:t>)</w:t>
      </w:r>
      <w:r w:rsidR="00B81B7A" w:rsidRPr="002F6199">
        <w:rPr>
          <w:i/>
          <w:lang w:val="en-US"/>
        </w:rPr>
        <w:fldChar w:fldCharType="end"/>
      </w:r>
      <w:r w:rsidRPr="002F6199">
        <w:rPr>
          <w:i/>
          <w:lang w:val="en-US"/>
        </w:rPr>
        <w:t xml:space="preserve">, </w:t>
      </w:r>
      <w:r w:rsidRPr="002F6199">
        <w:rPr>
          <w:i/>
          <w:lang w:val="en-US"/>
        </w:rPr>
        <w:fldChar w:fldCharType="begin"/>
      </w:r>
      <w:r w:rsidRPr="002F6199">
        <w:rPr>
          <w:i/>
          <w:lang w:val="en-US"/>
        </w:rPr>
        <w:instrText xml:space="preserve"> ADDIN EN.CITE &lt;EndNote&gt;&lt;Cite AuthorYear="1"&gt;&lt;Author&gt;Kato&lt;/Author&gt;&lt;Year&gt;2012&lt;/Year&gt;&lt;RecNum&gt;131&lt;/RecNum&gt;&lt;DisplayText&gt;Kato and Nkonya (2012)&lt;/DisplayText&gt;&lt;record&gt;&lt;rec-number&gt;131&lt;/rec-number&gt;&lt;foreign-keys&gt;&lt;key app="EN" db-id="0erxvrzsjv5szqefaesv09e4awxs2t5saw90"&gt;131&lt;/key&gt;&lt;/foreign-keys&gt;&lt;ref-type name="Unpublished Work"&gt;34&lt;/ref-type&gt;&lt;contributors&gt;&lt;authors&gt;&lt;author&gt;Kato, E.&lt;/author&gt;&lt;author&gt;Nkonya, E.&lt;/author&gt;&lt;/authors&gt;&lt;/contributors&gt;&lt;titles&gt;&lt;title&gt;DSSAT model for cotton and potato &lt;/title&gt;&lt;/titles&gt;&lt;dates&gt;&lt;year&gt;2012&lt;/year&gt;&lt;/dates&gt;&lt;pub-location&gt;Aleppo&lt;/pub-location&gt;&lt;publisher&gt;ICARDA&lt;/publisher&gt;&lt;urls&gt;&lt;/urls&gt;&lt;/record&gt;&lt;/Cite&gt;&lt;/EndNote&gt;</w:instrText>
      </w:r>
      <w:r w:rsidRPr="002F6199">
        <w:rPr>
          <w:i/>
          <w:lang w:val="en-US"/>
        </w:rPr>
        <w:fldChar w:fldCharType="separate"/>
      </w:r>
      <w:hyperlink w:anchor="_ENREF_10" w:tooltip="Kato, 2012 #131" w:history="1">
        <w:r w:rsidR="007C49FB" w:rsidRPr="002F6199">
          <w:rPr>
            <w:i/>
            <w:noProof/>
            <w:lang w:val="en-US"/>
          </w:rPr>
          <w:t>Kato and Nkonya (2012</w:t>
        </w:r>
      </w:hyperlink>
      <w:r w:rsidRPr="002F6199">
        <w:rPr>
          <w:i/>
          <w:noProof/>
          <w:lang w:val="en-US"/>
        </w:rPr>
        <w:t>)</w:t>
      </w:r>
      <w:r w:rsidRPr="002F6199">
        <w:rPr>
          <w:i/>
          <w:lang w:val="en-US"/>
        </w:rPr>
        <w:fldChar w:fldCharType="end"/>
      </w:r>
    </w:p>
    <w:p w:rsidR="000E17B4" w:rsidRPr="002F6199" w:rsidRDefault="000E17B4" w:rsidP="002F6199">
      <w:pPr>
        <w:pStyle w:val="berschrift1"/>
        <w:rPr>
          <w:rFonts w:asciiTheme="minorHAnsi" w:hAnsiTheme="minorHAnsi"/>
          <w:szCs w:val="22"/>
          <w:lang w:val="en-US"/>
        </w:rPr>
      </w:pPr>
    </w:p>
    <w:p w:rsidR="002B6934" w:rsidRPr="002F6199" w:rsidRDefault="002B6934" w:rsidP="002F6199">
      <w:pPr>
        <w:rPr>
          <w:b/>
          <w:lang w:val="en-US"/>
        </w:rPr>
      </w:pPr>
      <w:r w:rsidRPr="002F6199">
        <w:rPr>
          <w:noProof/>
          <w:lang w:eastAsia="de-DE"/>
        </w:rPr>
        <w:drawing>
          <wp:inline distT="0" distB="0" distL="0" distR="0" wp14:anchorId="1AAAB31D" wp14:editId="21A630E9">
            <wp:extent cx="5760720" cy="3637857"/>
            <wp:effectExtent l="0" t="0" r="0" b="0"/>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6934" w:rsidRPr="002F6199" w:rsidRDefault="002B6934" w:rsidP="002F6199">
      <w:pPr>
        <w:rPr>
          <w:b/>
          <w:lang w:val="en-US"/>
        </w:rPr>
      </w:pPr>
    </w:p>
    <w:p w:rsidR="00C90AF1" w:rsidRPr="002F6199" w:rsidRDefault="00C90AF1" w:rsidP="002F6199">
      <w:pPr>
        <w:rPr>
          <w:lang w:val="en-US"/>
        </w:rPr>
      </w:pPr>
      <w:r w:rsidRPr="002F6199">
        <w:rPr>
          <w:b/>
          <w:lang w:val="en-US"/>
        </w:rPr>
        <w:t>Fig. SM2.</w:t>
      </w:r>
      <w:r w:rsidRPr="002F6199">
        <w:rPr>
          <w:lang w:val="en-US"/>
        </w:rPr>
        <w:t xml:space="preserve"> Fertilizer (N) application rates in all farming systems </w:t>
      </w:r>
    </w:p>
    <w:p w:rsidR="006C623A" w:rsidRPr="002F6199" w:rsidRDefault="006C623A" w:rsidP="002F6199">
      <w:pPr>
        <w:pStyle w:val="berschrift1"/>
        <w:numPr>
          <w:ilvl w:val="0"/>
          <w:numId w:val="3"/>
        </w:numPr>
        <w:rPr>
          <w:rFonts w:asciiTheme="minorHAnsi" w:hAnsiTheme="minorHAnsi"/>
          <w:szCs w:val="22"/>
          <w:lang w:val="en-US"/>
        </w:rPr>
      </w:pPr>
      <w:r w:rsidRPr="002F6199">
        <w:rPr>
          <w:rFonts w:asciiTheme="minorHAnsi" w:hAnsiTheme="minorHAnsi"/>
          <w:szCs w:val="22"/>
          <w:lang w:val="en-US"/>
        </w:rPr>
        <w:t>Conside</w:t>
      </w:r>
      <w:r w:rsidR="00E00633" w:rsidRPr="002F6199">
        <w:rPr>
          <w:rFonts w:asciiTheme="minorHAnsi" w:hAnsiTheme="minorHAnsi"/>
          <w:szCs w:val="22"/>
          <w:lang w:val="en-US"/>
        </w:rPr>
        <w:t xml:space="preserve">ration of yield and price risk in the objective function </w:t>
      </w:r>
    </w:p>
    <w:p w:rsidR="006C623A" w:rsidRPr="002F6199" w:rsidRDefault="006C623A" w:rsidP="002F6199">
      <w:pPr>
        <w:spacing w:after="120" w:line="360" w:lineRule="auto"/>
        <w:jc w:val="both"/>
        <w:rPr>
          <w:rFonts w:cstheme="minorHAnsi"/>
          <w:lang w:val="en-US"/>
        </w:rPr>
      </w:pPr>
      <w:r w:rsidRPr="002F6199">
        <w:rPr>
          <w:rFonts w:cstheme="minorHAnsi"/>
          <w:lang w:val="en-US"/>
        </w:rPr>
        <w:t xml:space="preserve">The stochastic variables in the model are crop yields and output prices and the expected income of the farm </w:t>
      </w:r>
      <w:r w:rsidRPr="002F6199">
        <w:rPr>
          <w:rFonts w:cstheme="minorHAnsi"/>
          <w:i/>
          <w:iCs/>
          <w:lang w:val="en-US"/>
        </w:rPr>
        <w:t>E(Y)</w:t>
      </w:r>
      <w:r w:rsidRPr="002F6199">
        <w:rPr>
          <w:rFonts w:cstheme="minorHAnsi"/>
          <w:lang w:val="en-US"/>
        </w:rPr>
        <w:t xml:space="preserve"> </w:t>
      </w:r>
      <w:r w:rsidR="00614795" w:rsidRPr="002F6199">
        <w:rPr>
          <w:rFonts w:cstheme="minorHAnsi"/>
          <w:lang w:val="en-US"/>
        </w:rPr>
        <w:t xml:space="preserve">in equation 1 </w:t>
      </w:r>
      <w:r w:rsidRPr="002F6199">
        <w:rPr>
          <w:rFonts w:cstheme="minorHAnsi"/>
          <w:lang w:val="en-US"/>
        </w:rPr>
        <w:t>can be written as (Anderson et al., 1977):</w:t>
      </w:r>
    </w:p>
    <w:p w:rsidR="006C623A" w:rsidRPr="002F6199" w:rsidRDefault="006C623A" w:rsidP="002F6199">
      <w:pPr>
        <w:pStyle w:val="Beschriftung"/>
        <w:rPr>
          <w:rFonts w:asciiTheme="minorHAnsi" w:hAnsiTheme="minorHAnsi" w:cstheme="minorHAnsi"/>
          <w:sz w:val="22"/>
          <w:szCs w:val="22"/>
          <w:lang w:val="en-US"/>
        </w:rPr>
      </w:pPr>
      <w:r w:rsidRPr="002F6199">
        <w:rPr>
          <w:rFonts w:asciiTheme="minorHAnsi" w:hAnsiTheme="minorHAnsi" w:cstheme="minorHAnsi"/>
          <w:position w:val="-16"/>
          <w:sz w:val="22"/>
          <w:szCs w:val="22"/>
          <w:lang w:val="en-US"/>
        </w:rPr>
        <w:object w:dxaOrig="57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23.8pt" o:ole="">
            <v:imagedata r:id="rId11" o:title=""/>
          </v:shape>
          <o:OLEObject Type="Embed" ProgID="Equation.3" ShapeID="_x0000_i1025" DrawAspect="Content" ObjectID="_1572774568" r:id="rId12"/>
        </w:object>
      </w:r>
      <w:r w:rsidRPr="002F6199">
        <w:rPr>
          <w:rFonts w:asciiTheme="minorHAnsi" w:hAnsiTheme="minorHAnsi" w:cstheme="minorHAnsi"/>
          <w:sz w:val="22"/>
          <w:szCs w:val="22"/>
          <w:lang w:val="en-US"/>
        </w:rPr>
        <w:tab/>
      </w:r>
      <w:r w:rsidRPr="002F6199">
        <w:rPr>
          <w:rFonts w:asciiTheme="minorHAnsi" w:hAnsiTheme="minorHAnsi" w:cstheme="minorHAnsi"/>
          <w:sz w:val="22"/>
          <w:szCs w:val="22"/>
          <w:lang w:val="en-US"/>
        </w:rPr>
        <w:tab/>
        <w:t>(</w:t>
      </w:r>
      <w:r w:rsidRPr="002F6199">
        <w:rPr>
          <w:rFonts w:asciiTheme="minorHAnsi" w:hAnsiTheme="minorHAnsi" w:cstheme="minorHAnsi"/>
          <w:sz w:val="22"/>
          <w:szCs w:val="22"/>
          <w:lang w:val="en-US"/>
        </w:rPr>
        <w:fldChar w:fldCharType="begin"/>
      </w:r>
      <w:r w:rsidRPr="002F6199">
        <w:rPr>
          <w:rFonts w:asciiTheme="minorHAnsi" w:hAnsiTheme="minorHAnsi" w:cstheme="minorHAnsi"/>
          <w:sz w:val="22"/>
          <w:szCs w:val="22"/>
          <w:lang w:val="en-US"/>
        </w:rPr>
        <w:instrText xml:space="preserve"> SEQ Equation \* ARABIC </w:instrText>
      </w:r>
      <w:r w:rsidRPr="002F6199">
        <w:rPr>
          <w:rFonts w:asciiTheme="minorHAnsi" w:hAnsiTheme="minorHAnsi" w:cstheme="minorHAnsi"/>
          <w:sz w:val="22"/>
          <w:szCs w:val="22"/>
          <w:lang w:val="en-US"/>
        </w:rPr>
        <w:fldChar w:fldCharType="separate"/>
      </w:r>
      <w:r w:rsidRPr="002F6199">
        <w:rPr>
          <w:rFonts w:asciiTheme="minorHAnsi" w:hAnsiTheme="minorHAnsi" w:cstheme="minorHAnsi"/>
          <w:noProof/>
          <w:sz w:val="22"/>
          <w:szCs w:val="22"/>
          <w:lang w:val="en-US"/>
        </w:rPr>
        <w:t>3</w:t>
      </w:r>
      <w:r w:rsidRPr="002F6199">
        <w:rPr>
          <w:rFonts w:asciiTheme="minorHAnsi" w:hAnsiTheme="minorHAnsi" w:cstheme="minorHAnsi"/>
          <w:sz w:val="22"/>
          <w:szCs w:val="22"/>
          <w:lang w:val="en-US"/>
        </w:rPr>
        <w:fldChar w:fldCharType="end"/>
      </w:r>
      <w:r w:rsidRPr="002F6199">
        <w:rPr>
          <w:rFonts w:asciiTheme="minorHAnsi" w:hAnsiTheme="minorHAnsi" w:cstheme="minorHAnsi"/>
          <w:sz w:val="22"/>
          <w:szCs w:val="22"/>
          <w:lang w:val="en-US"/>
        </w:rPr>
        <w:t>)</w:t>
      </w:r>
      <w:r w:rsidRPr="002F6199">
        <w:rPr>
          <w:rFonts w:asciiTheme="minorHAnsi" w:hAnsiTheme="minorHAnsi" w:cstheme="minorHAnsi"/>
          <w:sz w:val="22"/>
          <w:szCs w:val="22"/>
          <w:lang w:val="en-US"/>
        </w:rPr>
        <w:tab/>
      </w:r>
      <w:r w:rsidRPr="002F6199">
        <w:rPr>
          <w:rFonts w:asciiTheme="minorHAnsi" w:hAnsiTheme="minorHAnsi" w:cstheme="minorHAnsi"/>
          <w:sz w:val="22"/>
          <w:szCs w:val="22"/>
          <w:lang w:val="en-US"/>
        </w:rPr>
        <w:tab/>
      </w:r>
    </w:p>
    <w:p w:rsidR="006C623A" w:rsidRPr="002F6199" w:rsidRDefault="006C623A" w:rsidP="002F6199">
      <w:pPr>
        <w:spacing w:before="100" w:beforeAutospacing="1" w:after="100" w:afterAutospacing="1" w:line="360" w:lineRule="auto"/>
        <w:jc w:val="both"/>
        <w:rPr>
          <w:rFonts w:cstheme="minorHAnsi"/>
          <w:lang w:val="en-US"/>
        </w:rPr>
      </w:pPr>
      <w:r w:rsidRPr="002F6199">
        <w:rPr>
          <w:rFonts w:cstheme="minorHAnsi"/>
          <w:lang w:val="en-US"/>
        </w:rPr>
        <w:t>Where,</w:t>
      </w:r>
    </w:p>
    <w:p w:rsidR="006C623A" w:rsidRPr="002F6199" w:rsidRDefault="006C623A" w:rsidP="002F6199">
      <w:pPr>
        <w:spacing w:line="360" w:lineRule="auto"/>
        <w:jc w:val="both"/>
        <w:rPr>
          <w:rFonts w:cstheme="minorHAnsi"/>
          <w:lang w:val="en-US"/>
        </w:rPr>
      </w:pPr>
      <w:r w:rsidRPr="002F6199">
        <w:rPr>
          <w:rFonts w:cstheme="minorHAnsi"/>
          <w:position w:val="-12"/>
        </w:rPr>
        <w:object w:dxaOrig="639" w:dyaOrig="360">
          <v:shape id="_x0000_i1026" type="#_x0000_t75" style="width:31.3pt;height:18.15pt" o:ole="">
            <v:imagedata r:id="rId13" o:title=""/>
          </v:shape>
          <o:OLEObject Type="Embed" ProgID="Equation.3" ShapeID="_x0000_i1026" DrawAspect="Content" ObjectID="_1572774569" r:id="rId14"/>
        </w:object>
      </w:r>
      <w:r w:rsidRPr="002F6199">
        <w:rPr>
          <w:rFonts w:cstheme="minorHAnsi"/>
          <w:lang w:val="en-US"/>
        </w:rPr>
        <w:tab/>
      </w:r>
      <w:r w:rsidRPr="002F6199">
        <w:rPr>
          <w:rFonts w:cstheme="minorHAnsi"/>
          <w:lang w:val="en-US"/>
        </w:rPr>
        <w:tab/>
        <w:t xml:space="preserve">is expected price of commodity </w:t>
      </w:r>
      <w:r w:rsidRPr="002F6199">
        <w:rPr>
          <w:rFonts w:cstheme="minorHAnsi"/>
          <w:i/>
          <w:lang w:val="en-US"/>
        </w:rPr>
        <w:t>i</w:t>
      </w:r>
    </w:p>
    <w:p w:rsidR="006C623A" w:rsidRPr="002F6199" w:rsidRDefault="006C623A" w:rsidP="002F6199">
      <w:pPr>
        <w:spacing w:line="360" w:lineRule="auto"/>
        <w:jc w:val="both"/>
        <w:rPr>
          <w:rFonts w:cstheme="minorHAnsi"/>
          <w:lang w:val="en-US"/>
        </w:rPr>
      </w:pPr>
      <w:r w:rsidRPr="002F6199">
        <w:rPr>
          <w:rFonts w:cstheme="minorHAnsi"/>
          <w:position w:val="-12"/>
        </w:rPr>
        <w:object w:dxaOrig="920" w:dyaOrig="360">
          <v:shape id="_x0000_i1027" type="#_x0000_t75" style="width:45.7pt;height:18.15pt" o:ole="">
            <v:imagedata r:id="rId15" o:title=""/>
          </v:shape>
          <o:OLEObject Type="Embed" ProgID="Equation.3" ShapeID="_x0000_i1027" DrawAspect="Content" ObjectID="_1572774570" r:id="rId16"/>
        </w:object>
      </w:r>
      <w:r w:rsidRPr="002F6199">
        <w:rPr>
          <w:rFonts w:cstheme="minorHAnsi"/>
          <w:lang w:val="en-US"/>
        </w:rPr>
        <w:tab/>
        <w:t xml:space="preserve">is the expected yield from </w:t>
      </w:r>
      <w:r w:rsidRPr="002F6199">
        <w:rPr>
          <w:rFonts w:cstheme="minorHAnsi"/>
          <w:i/>
          <w:lang w:val="en-US"/>
        </w:rPr>
        <w:t>i</w:t>
      </w:r>
      <w:r w:rsidRPr="002F6199">
        <w:rPr>
          <w:rFonts w:cstheme="minorHAnsi"/>
          <w:i/>
          <w:vertAlign w:val="superscript"/>
          <w:lang w:val="en-US"/>
        </w:rPr>
        <w:t>th</w:t>
      </w:r>
      <w:r w:rsidRPr="002F6199">
        <w:rPr>
          <w:rFonts w:cstheme="minorHAnsi"/>
          <w:lang w:val="en-US"/>
        </w:rPr>
        <w:t xml:space="preserve"> activity </w:t>
      </w:r>
    </w:p>
    <w:p w:rsidR="006C623A" w:rsidRPr="002F6199" w:rsidRDefault="006C623A" w:rsidP="002F6199">
      <w:pPr>
        <w:spacing w:line="360" w:lineRule="auto"/>
        <w:jc w:val="both"/>
        <w:rPr>
          <w:rFonts w:cstheme="minorHAnsi"/>
          <w:lang w:val="en-US"/>
        </w:rPr>
      </w:pPr>
      <w:r w:rsidRPr="002F6199">
        <w:rPr>
          <w:rFonts w:cstheme="minorHAnsi"/>
          <w:position w:val="-12"/>
        </w:rPr>
        <w:object w:dxaOrig="240" w:dyaOrig="360">
          <v:shape id="_x0000_i1028" type="#_x0000_t75" style="width:13.15pt;height:18.15pt" o:ole="">
            <v:imagedata r:id="rId17" o:title=""/>
          </v:shape>
          <o:OLEObject Type="Embed" ProgID="Equation.3" ShapeID="_x0000_i1028" DrawAspect="Content" ObjectID="_1572774571" r:id="rId18"/>
        </w:object>
      </w:r>
      <w:r w:rsidRPr="002F6199">
        <w:rPr>
          <w:rFonts w:cstheme="minorHAnsi"/>
          <w:lang w:val="en-US"/>
        </w:rPr>
        <w:tab/>
      </w:r>
      <w:r w:rsidRPr="002F6199">
        <w:rPr>
          <w:rFonts w:cstheme="minorHAnsi"/>
          <w:lang w:val="en-US"/>
        </w:rPr>
        <w:tab/>
        <w:t>is the input level (e.g. water application, fertilizer use),</w:t>
      </w:r>
    </w:p>
    <w:p w:rsidR="006C623A" w:rsidRPr="002F6199" w:rsidRDefault="006C623A" w:rsidP="002F6199">
      <w:pPr>
        <w:spacing w:line="360" w:lineRule="auto"/>
        <w:jc w:val="both"/>
        <w:rPr>
          <w:rFonts w:cstheme="minorHAnsi"/>
          <w:lang w:val="en-US"/>
        </w:rPr>
      </w:pPr>
      <w:r w:rsidRPr="002F6199">
        <w:rPr>
          <w:rFonts w:cstheme="minorHAnsi"/>
          <w:position w:val="-10"/>
        </w:rPr>
        <w:object w:dxaOrig="360" w:dyaOrig="300">
          <v:shape id="_x0000_i1029" type="#_x0000_t75" style="width:18.15pt;height:16.3pt" o:ole="">
            <v:imagedata r:id="rId19" o:title=""/>
          </v:shape>
          <o:OLEObject Type="Embed" ProgID="Equation.3" ShapeID="_x0000_i1029" DrawAspect="Content" ObjectID="_1572774572" r:id="rId20"/>
        </w:object>
      </w:r>
      <w:r w:rsidRPr="002F6199">
        <w:rPr>
          <w:rFonts w:cstheme="minorHAnsi"/>
          <w:lang w:val="en-US"/>
        </w:rPr>
        <w:tab/>
      </w:r>
      <w:r w:rsidRPr="002F6199">
        <w:rPr>
          <w:rFonts w:cstheme="minorHAnsi"/>
          <w:lang w:val="en-US"/>
        </w:rPr>
        <w:tab/>
        <w:t>is the variable cost of production  (fertilizer, labor, fuel and machinery)</w:t>
      </w:r>
    </w:p>
    <w:p w:rsidR="006C623A" w:rsidRPr="002F6199" w:rsidRDefault="006C623A" w:rsidP="002F6199">
      <w:pPr>
        <w:spacing w:line="360" w:lineRule="auto"/>
        <w:jc w:val="both"/>
        <w:rPr>
          <w:rFonts w:cstheme="minorHAnsi"/>
          <w:lang w:val="en-US"/>
        </w:rPr>
      </w:pPr>
      <w:r w:rsidRPr="002F6199">
        <w:rPr>
          <w:position w:val="-6"/>
        </w:rPr>
        <w:object w:dxaOrig="400" w:dyaOrig="279">
          <v:shape id="_x0000_i1030" type="#_x0000_t75" style="width:20.05pt;height:13.75pt" o:ole="">
            <v:imagedata r:id="rId21" o:title=""/>
          </v:shape>
          <o:OLEObject Type="Embed" ProgID="Equation.3" ShapeID="_x0000_i1030" DrawAspect="Content" ObjectID="_1572774573" r:id="rId22"/>
        </w:object>
      </w:r>
      <w:r w:rsidRPr="002F6199">
        <w:rPr>
          <w:rFonts w:cstheme="minorHAnsi"/>
          <w:lang w:val="en-US"/>
        </w:rPr>
        <w:tab/>
      </w:r>
      <w:r w:rsidRPr="002F6199">
        <w:rPr>
          <w:rFonts w:cstheme="minorHAnsi"/>
          <w:lang w:val="en-US"/>
        </w:rPr>
        <w:tab/>
        <w:t>is the fixed costs</w:t>
      </w:r>
    </w:p>
    <w:p w:rsidR="006C623A" w:rsidRPr="002F6199" w:rsidRDefault="006C623A" w:rsidP="002F6199">
      <w:pPr>
        <w:spacing w:line="360" w:lineRule="auto"/>
        <w:jc w:val="both"/>
        <w:rPr>
          <w:rFonts w:cstheme="minorHAnsi"/>
          <w:lang w:val="en-US"/>
        </w:rPr>
      </w:pPr>
      <w:r w:rsidRPr="002F6199">
        <w:rPr>
          <w:position w:val="-12"/>
        </w:rPr>
        <w:object w:dxaOrig="320" w:dyaOrig="360">
          <v:shape id="_x0000_i1031" type="#_x0000_t75" style="width:16.3pt;height:18.15pt" o:ole="">
            <v:imagedata r:id="rId23" o:title=""/>
          </v:shape>
          <o:OLEObject Type="Embed" ProgID="Equation.3" ShapeID="_x0000_i1031" DrawAspect="Content" ObjectID="_1572774574" r:id="rId24"/>
        </w:object>
      </w:r>
      <w:r w:rsidRPr="002F6199">
        <w:rPr>
          <w:rFonts w:cstheme="minorHAnsi"/>
          <w:lang w:val="en-US"/>
        </w:rPr>
        <w:tab/>
      </w:r>
      <w:r w:rsidRPr="002F6199">
        <w:rPr>
          <w:rFonts w:cstheme="minorHAnsi"/>
          <w:lang w:val="en-US"/>
        </w:rPr>
        <w:tab/>
        <w:t>is the crop area expressed in hectares.</w:t>
      </w:r>
    </w:p>
    <w:p w:rsidR="006C623A" w:rsidRPr="002F6199" w:rsidRDefault="006C623A" w:rsidP="002F6199">
      <w:pPr>
        <w:spacing w:before="100" w:beforeAutospacing="1" w:after="100" w:afterAutospacing="1" w:line="360" w:lineRule="auto"/>
        <w:jc w:val="both"/>
        <w:rPr>
          <w:rFonts w:cstheme="minorHAnsi"/>
          <w:lang w:val="en-US"/>
        </w:rPr>
      </w:pPr>
      <w:r w:rsidRPr="002F6199">
        <w:rPr>
          <w:rFonts w:cstheme="minorHAnsi"/>
          <w:lang w:val="en-US"/>
        </w:rPr>
        <w:t>The variance of the income (</w:t>
      </w:r>
      <w:r w:rsidRPr="002F6199">
        <w:rPr>
          <w:position w:val="-10"/>
        </w:rPr>
        <w:object w:dxaOrig="560" w:dyaOrig="320">
          <v:shape id="_x0000_i1032" type="#_x0000_t75" style="width:28.15pt;height:16.3pt" o:ole="">
            <v:imagedata r:id="rId25" o:title=""/>
          </v:shape>
          <o:OLEObject Type="Embed" ProgID="Equation.3" ShapeID="_x0000_i1032" DrawAspect="Content" ObjectID="_1572774575" r:id="rId26"/>
        </w:object>
      </w:r>
      <w:r w:rsidRPr="002F6199" w:rsidDel="0026672A">
        <w:rPr>
          <w:rFonts w:cstheme="minorHAnsi"/>
          <w:lang w:val="en-US"/>
        </w:rPr>
        <w:t xml:space="preserve"> </w:t>
      </w:r>
      <w:r w:rsidRPr="002F6199">
        <w:rPr>
          <w:rFonts w:cstheme="minorHAnsi"/>
          <w:lang w:val="en-US"/>
        </w:rPr>
        <w:t xml:space="preserve">in the equation </w:t>
      </w:r>
      <w:r w:rsidRPr="002F6199">
        <w:rPr>
          <w:rFonts w:cstheme="minorHAnsi"/>
        </w:rPr>
        <w:fldChar w:fldCharType="begin"/>
      </w:r>
      <w:r w:rsidRPr="002F6199">
        <w:rPr>
          <w:rFonts w:cstheme="minorHAnsi"/>
          <w:lang w:val="en-US"/>
        </w:rPr>
        <w:instrText xml:space="preserve"> PAGEREF _Ref353378921 \h </w:instrText>
      </w:r>
      <w:r w:rsidRPr="002F6199">
        <w:rPr>
          <w:rFonts w:cstheme="minorHAnsi"/>
        </w:rPr>
      </w:r>
      <w:r w:rsidRPr="002F6199">
        <w:rPr>
          <w:rFonts w:cstheme="minorHAnsi"/>
        </w:rPr>
        <w:fldChar w:fldCharType="separate"/>
      </w:r>
      <w:r w:rsidRPr="002F6199">
        <w:rPr>
          <w:rFonts w:cstheme="minorHAnsi"/>
          <w:noProof/>
          <w:lang w:val="en-US"/>
        </w:rPr>
        <w:t>1</w:t>
      </w:r>
      <w:r w:rsidRPr="002F6199">
        <w:rPr>
          <w:rFonts w:cstheme="minorHAnsi"/>
        </w:rPr>
        <w:fldChar w:fldCharType="end"/>
      </w:r>
      <w:r w:rsidRPr="002F6199">
        <w:rPr>
          <w:rFonts w:cstheme="minorHAnsi"/>
          <w:lang w:val="en-US"/>
        </w:rPr>
        <w:t xml:space="preserve"> can be approximated according to Anderson et al. (1977) as:</w:t>
      </w:r>
    </w:p>
    <w:p w:rsidR="006C623A" w:rsidRPr="002F6199" w:rsidRDefault="006C623A" w:rsidP="002F6199">
      <w:pPr>
        <w:pStyle w:val="Beschriftung"/>
        <w:rPr>
          <w:rFonts w:asciiTheme="minorHAnsi" w:hAnsiTheme="minorHAnsi" w:cstheme="minorHAnsi"/>
          <w:sz w:val="22"/>
          <w:szCs w:val="22"/>
          <w:lang w:val="en-US"/>
        </w:rPr>
      </w:pPr>
      <w:r w:rsidRPr="002F6199">
        <w:rPr>
          <w:rFonts w:asciiTheme="minorHAnsi" w:hAnsiTheme="minorHAnsi" w:cstheme="minorHAnsi"/>
          <w:position w:val="-16"/>
          <w:sz w:val="22"/>
          <w:szCs w:val="22"/>
          <w:lang w:val="en-US"/>
        </w:rPr>
        <w:object w:dxaOrig="8040" w:dyaOrig="460">
          <v:shape id="_x0000_i1033" type="#_x0000_t75" style="width:382.55pt;height:23.8pt" o:ole="">
            <v:imagedata r:id="rId27" o:title=""/>
          </v:shape>
          <o:OLEObject Type="Embed" ProgID="Equation.3" ShapeID="_x0000_i1033" DrawAspect="Content" ObjectID="_1572774576" r:id="rId28"/>
        </w:object>
      </w:r>
      <w:r w:rsidRPr="002F6199">
        <w:rPr>
          <w:rFonts w:asciiTheme="minorHAnsi" w:hAnsiTheme="minorHAnsi" w:cstheme="minorHAnsi"/>
          <w:position w:val="-16"/>
          <w:sz w:val="22"/>
          <w:szCs w:val="22"/>
          <w:lang w:val="en-US"/>
        </w:rPr>
        <w:tab/>
      </w:r>
      <w:r w:rsidRPr="002F6199">
        <w:rPr>
          <w:rFonts w:asciiTheme="minorHAnsi" w:hAnsiTheme="minorHAnsi" w:cstheme="minorHAnsi"/>
          <w:position w:val="-16"/>
          <w:sz w:val="22"/>
          <w:szCs w:val="22"/>
          <w:lang w:val="en-US"/>
        </w:rPr>
        <w:tab/>
        <w:t>(</w:t>
      </w:r>
      <w:r w:rsidRPr="002F6199">
        <w:rPr>
          <w:rFonts w:asciiTheme="minorHAnsi" w:hAnsiTheme="minorHAnsi" w:cstheme="minorHAnsi"/>
          <w:position w:val="-16"/>
          <w:sz w:val="22"/>
          <w:szCs w:val="22"/>
          <w:lang w:val="en-US"/>
        </w:rPr>
        <w:fldChar w:fldCharType="begin"/>
      </w:r>
      <w:r w:rsidRPr="002F6199">
        <w:rPr>
          <w:rFonts w:asciiTheme="minorHAnsi" w:hAnsiTheme="minorHAnsi" w:cstheme="minorHAnsi"/>
          <w:position w:val="-16"/>
          <w:sz w:val="22"/>
          <w:szCs w:val="22"/>
          <w:lang w:val="en-US"/>
        </w:rPr>
        <w:instrText xml:space="preserve"> SEQ Equation \* ARABIC </w:instrText>
      </w:r>
      <w:r w:rsidRPr="002F6199">
        <w:rPr>
          <w:rFonts w:asciiTheme="minorHAnsi" w:hAnsiTheme="minorHAnsi" w:cstheme="minorHAnsi"/>
          <w:position w:val="-16"/>
          <w:sz w:val="22"/>
          <w:szCs w:val="22"/>
          <w:lang w:val="en-US"/>
        </w:rPr>
        <w:fldChar w:fldCharType="separate"/>
      </w:r>
      <w:r w:rsidRPr="002F6199">
        <w:rPr>
          <w:rFonts w:asciiTheme="minorHAnsi" w:hAnsiTheme="minorHAnsi" w:cstheme="minorHAnsi"/>
          <w:noProof/>
          <w:position w:val="-16"/>
          <w:sz w:val="22"/>
          <w:szCs w:val="22"/>
          <w:lang w:val="en-US"/>
        </w:rPr>
        <w:t>4</w:t>
      </w:r>
      <w:r w:rsidRPr="002F6199">
        <w:rPr>
          <w:rFonts w:asciiTheme="minorHAnsi" w:hAnsiTheme="minorHAnsi" w:cstheme="minorHAnsi"/>
          <w:position w:val="-16"/>
          <w:sz w:val="22"/>
          <w:szCs w:val="22"/>
          <w:lang w:val="en-US"/>
        </w:rPr>
        <w:fldChar w:fldCharType="end"/>
      </w:r>
      <w:r w:rsidRPr="002F6199">
        <w:rPr>
          <w:rFonts w:asciiTheme="minorHAnsi" w:hAnsiTheme="minorHAnsi" w:cstheme="minorHAnsi"/>
          <w:position w:val="-16"/>
          <w:sz w:val="22"/>
          <w:szCs w:val="22"/>
          <w:lang w:val="en-US"/>
        </w:rPr>
        <w:t>)</w:t>
      </w:r>
    </w:p>
    <w:p w:rsidR="006C623A" w:rsidRPr="002F6199" w:rsidRDefault="006C623A" w:rsidP="002F6199">
      <w:pPr>
        <w:spacing w:after="240" w:line="360" w:lineRule="auto"/>
        <w:jc w:val="both"/>
        <w:rPr>
          <w:rFonts w:cstheme="minorHAnsi"/>
          <w:lang w:val="en-US"/>
        </w:rPr>
      </w:pPr>
      <w:r w:rsidRPr="002F6199">
        <w:rPr>
          <w:rFonts w:cstheme="minorHAnsi"/>
          <w:lang w:val="en-US"/>
        </w:rPr>
        <w:t>The expected yields (</w:t>
      </w:r>
      <w:r w:rsidRPr="002F6199">
        <w:rPr>
          <w:rFonts w:cstheme="minorHAnsi"/>
          <w:position w:val="-12"/>
        </w:rPr>
        <w:object w:dxaOrig="920" w:dyaOrig="360">
          <v:shape id="_x0000_i1034" type="#_x0000_t75" style="width:45.7pt;height:18.15pt" o:ole="">
            <v:imagedata r:id="rId15" o:title=""/>
          </v:shape>
          <o:OLEObject Type="Embed" ProgID="Equation.3" ShapeID="_x0000_i1034" DrawAspect="Content" ObjectID="_1572774577" r:id="rId29"/>
        </w:object>
      </w:r>
      <w:r w:rsidRPr="002F6199">
        <w:rPr>
          <w:rFonts w:cstheme="minorHAnsi"/>
          <w:lang w:val="en-US"/>
        </w:rPr>
        <w:t xml:space="preserve">) and standard deviation of yields are often estimated from the historical observations. However, historical yields cannot be considered as representative for the future under climate change scenarios when precipitation and temperature is expected to be different than that observed in the past </w:t>
      </w:r>
      <w:r w:rsidRPr="002F6199">
        <w:rPr>
          <w:rFonts w:cstheme="minorHAnsi"/>
        </w:rPr>
        <w:fldChar w:fldCharType="begin"/>
      </w:r>
      <w:r w:rsidRPr="002F6199">
        <w:rPr>
          <w:rFonts w:cstheme="minorHAnsi"/>
          <w:lang w:val="en-US"/>
        </w:rPr>
        <w:instrText xml:space="preserve"> ADDIN EN.CITE &lt;EndNote&gt;&lt;Cite&gt;&lt;Author&gt;Hardaker&lt;/Author&gt;&lt;Year&gt;2010&lt;/Year&gt;&lt;RecNum&gt;157&lt;/RecNum&gt;&lt;DisplayText&gt;(Hardaker and Lien, 2010)&lt;/DisplayText&gt;&lt;record&gt;&lt;rec-number&gt;157&lt;/rec-number&gt;&lt;foreign-keys&gt;&lt;key app="EN" db-id="0erxvrzsjv5szqefaesv09e4awxs2t5saw90"&gt;157&lt;/key&gt;&lt;/foreign-keys&gt;&lt;ref-type name="Journal Article"&gt;17&lt;/ref-type&gt;&lt;contributors&gt;&lt;authors&gt;&lt;author&gt;Hardaker, J. Brian&lt;/author&gt;&lt;author&gt;Lien, Gudbrand&lt;/author&gt;&lt;/authors&gt;&lt;/contributors&gt;&lt;titles&gt;&lt;title&gt;Probabilities for decision analysis in agriculture and rural resource economics: The need for a paradigm change&lt;/title&gt;&lt;secondary-title&gt;Agricultural Systems&lt;/secondary-title&gt;&lt;/titles&gt;&lt;periodical&gt;&lt;full-title&gt;Agricultural Systems&lt;/full-title&gt;&lt;/periodical&gt;&lt;pages&gt;345-350&lt;/pages&gt;&lt;volume&gt;103&lt;/volume&gt;&lt;number&gt;6&lt;/number&gt;&lt;keywords&gt;&lt;keyword&gt;Decision analysis&lt;/keyword&gt;&lt;keyword&gt;Risk and uncertainty&lt;/keyword&gt;&lt;keyword&gt;Subjective probabilities&lt;/keyword&gt;&lt;/keywords&gt;&lt;dates&gt;&lt;year&gt;2010&lt;/year&gt;&lt;pub-dates&gt;&lt;date&gt;7//&lt;/date&gt;&lt;/pub-dates&gt;&lt;/dates&gt;&lt;isbn&gt;0308-521X&lt;/isbn&gt;&lt;urls&gt;&lt;related-urls&gt;&lt;url&gt;http://www.sciencedirect.com/science/article/pii/S0308521X10000028&lt;/url&gt;&lt;/related-urls&gt;&lt;/urls&gt;&lt;electronic-resource-num&gt;http://dx.doi.org/10.1016/j.agsy.2010.01.001&lt;/electronic-resource-num&gt;&lt;/record&gt;&lt;/Cite&gt;&lt;/EndNote&gt;</w:instrText>
      </w:r>
      <w:r w:rsidRPr="002F6199">
        <w:rPr>
          <w:rFonts w:cstheme="minorHAnsi"/>
        </w:rPr>
        <w:fldChar w:fldCharType="separate"/>
      </w:r>
      <w:r w:rsidRPr="002F6199">
        <w:rPr>
          <w:rFonts w:cstheme="minorHAnsi"/>
          <w:noProof/>
          <w:lang w:val="en-US"/>
        </w:rPr>
        <w:t>(</w:t>
      </w:r>
      <w:hyperlink w:anchor="_ENREF_7" w:tooltip="Hardaker, 2010 #157" w:history="1">
        <w:r w:rsidR="007C49FB" w:rsidRPr="002F6199">
          <w:rPr>
            <w:rFonts w:cstheme="minorHAnsi"/>
            <w:noProof/>
            <w:lang w:val="en-US"/>
          </w:rPr>
          <w:t>Hardaker and Lien, 2010</w:t>
        </w:r>
      </w:hyperlink>
      <w:r w:rsidRPr="002F6199">
        <w:rPr>
          <w:rFonts w:cstheme="minorHAnsi"/>
          <w:noProof/>
          <w:lang w:val="en-US"/>
        </w:rPr>
        <w:t>)</w:t>
      </w:r>
      <w:r w:rsidRPr="002F6199">
        <w:rPr>
          <w:rFonts w:cstheme="minorHAnsi"/>
        </w:rPr>
        <w:fldChar w:fldCharType="end"/>
      </w:r>
      <w:r w:rsidRPr="002F6199">
        <w:rPr>
          <w:rFonts w:cstheme="minorHAnsi"/>
          <w:lang w:val="en-US"/>
        </w:rPr>
        <w:t xml:space="preserve">. Therefore, the expected yields </w:t>
      </w:r>
      <w:r w:rsidR="009A6959" w:rsidRPr="002F6199">
        <w:rPr>
          <w:rFonts w:cstheme="minorHAnsi"/>
          <w:position w:val="-12"/>
        </w:rPr>
        <w:object w:dxaOrig="900" w:dyaOrig="360">
          <v:shape id="_x0000_i1035" type="#_x0000_t75" style="width:44.45pt;height:18.15pt" o:ole="">
            <v:imagedata r:id="rId30" o:title=""/>
          </v:shape>
          <o:OLEObject Type="Embed" ProgID="Equation.3" ShapeID="_x0000_i1035" DrawAspect="Content" ObjectID="_1572774578" r:id="rId31"/>
        </w:object>
      </w:r>
      <w:r w:rsidRPr="002F6199">
        <w:rPr>
          <w:rFonts w:cstheme="minorHAnsi"/>
          <w:lang w:val="en-US"/>
        </w:rPr>
        <w:t>and standard deviation of yields are obtained from the results of the crop simulation models for each crop under different crop management options discussed in the previous section.</w:t>
      </w:r>
      <w:r w:rsidR="009A6959" w:rsidRPr="002F6199">
        <w:rPr>
          <w:rFonts w:cstheme="minorHAnsi"/>
          <w:lang w:val="en-US"/>
        </w:rPr>
        <w:t xml:space="preserve"> Only there points in the production function </w:t>
      </w:r>
      <w:r w:rsidR="009A6959" w:rsidRPr="002F6199">
        <w:rPr>
          <w:position w:val="-12"/>
        </w:rPr>
        <w:object w:dxaOrig="620" w:dyaOrig="360">
          <v:shape id="_x0000_i1036" type="#_x0000_t75" style="width:31.3pt;height:18.15pt" o:ole="">
            <v:imagedata r:id="rId32" o:title=""/>
          </v:shape>
          <o:OLEObject Type="Embed" ProgID="Equation.3" ShapeID="_x0000_i1036" DrawAspect="Content" ObjectID="_1572774579" r:id="rId33"/>
        </w:object>
      </w:r>
      <w:r w:rsidR="009A6959" w:rsidRPr="002F6199">
        <w:rPr>
          <w:lang w:val="en-US"/>
        </w:rPr>
        <w:t xml:space="preserve"> is considered in the simulations: low, average and </w:t>
      </w:r>
      <w:r w:rsidR="0045626E" w:rsidRPr="002F6199">
        <w:rPr>
          <w:lang w:val="en-US"/>
        </w:rPr>
        <w:t>high input use intensities as mentioned in the previous section</w:t>
      </w:r>
      <w:r w:rsidR="00B527E7" w:rsidRPr="002F6199">
        <w:rPr>
          <w:lang w:val="en-US"/>
        </w:rPr>
        <w:t xml:space="preserve"> and Fig</w:t>
      </w:r>
      <w:r w:rsidR="001C4D9F" w:rsidRPr="002F6199">
        <w:rPr>
          <w:lang w:val="en-US"/>
        </w:rPr>
        <w:t>. 3</w:t>
      </w:r>
      <w:r w:rsidR="0045626E" w:rsidRPr="002F6199">
        <w:rPr>
          <w:lang w:val="en-US"/>
        </w:rPr>
        <w:t xml:space="preserve">. </w:t>
      </w:r>
    </w:p>
    <w:p w:rsidR="00432105" w:rsidRPr="002F6199" w:rsidRDefault="00432105" w:rsidP="002F6199">
      <w:pPr>
        <w:pStyle w:val="Beschriftung"/>
        <w:rPr>
          <w:rFonts w:asciiTheme="minorHAnsi" w:eastAsiaTheme="minorHAnsi" w:hAnsiTheme="minorHAnsi" w:cstheme="minorHAnsi"/>
          <w:b w:val="0"/>
          <w:bCs w:val="0"/>
          <w:sz w:val="22"/>
          <w:szCs w:val="22"/>
          <w:lang w:val="en-US"/>
        </w:rPr>
      </w:pPr>
      <w:r w:rsidRPr="002F6199">
        <w:rPr>
          <w:rFonts w:asciiTheme="minorHAnsi" w:eastAsiaTheme="minorHAnsi" w:hAnsiTheme="minorHAnsi" w:cstheme="minorHAnsi"/>
          <w:b w:val="0"/>
          <w:bCs w:val="0"/>
          <w:sz w:val="22"/>
          <w:szCs w:val="22"/>
          <w:lang w:val="en-US"/>
        </w:rPr>
        <w:t>Several constraints considered in the optimization process are availability of fertilizer</w:t>
      </w:r>
      <w:r w:rsidR="00E01650" w:rsidRPr="002F6199">
        <w:rPr>
          <w:rFonts w:asciiTheme="minorHAnsi" w:eastAsiaTheme="minorHAnsi" w:hAnsiTheme="minorHAnsi" w:cstheme="minorHAnsi"/>
          <w:b w:val="0"/>
          <w:bCs w:val="0"/>
          <w:sz w:val="22"/>
          <w:szCs w:val="22"/>
          <w:lang w:val="en-US"/>
        </w:rPr>
        <w:t xml:space="preserve"> (</w:t>
      </w:r>
      <w:r w:rsidR="00E01650" w:rsidRPr="002F6199">
        <w:rPr>
          <w:position w:val="-14"/>
        </w:rPr>
        <w:object w:dxaOrig="320" w:dyaOrig="380">
          <v:shape id="_x0000_i1037" type="#_x0000_t75" style="width:16.3pt;height:18.8pt" o:ole="">
            <v:imagedata r:id="rId34" o:title=""/>
          </v:shape>
          <o:OLEObject Type="Embed" ProgID="Equation.3" ShapeID="_x0000_i1037" DrawAspect="Content" ObjectID="_1572774580" r:id="rId35"/>
        </w:object>
      </w:r>
      <w:r w:rsidR="00E01650" w:rsidRPr="002F6199">
        <w:t>)</w:t>
      </w:r>
      <w:r w:rsidRPr="002F6199">
        <w:rPr>
          <w:rFonts w:asciiTheme="minorHAnsi" w:eastAsiaTheme="minorHAnsi" w:hAnsiTheme="minorHAnsi" w:cstheme="minorHAnsi"/>
          <w:b w:val="0"/>
          <w:bCs w:val="0"/>
          <w:sz w:val="22"/>
          <w:szCs w:val="22"/>
          <w:lang w:val="en-US"/>
        </w:rPr>
        <w:t xml:space="preserve">, water </w:t>
      </w:r>
      <w:r w:rsidR="00E01650" w:rsidRPr="002F6199">
        <w:rPr>
          <w:rFonts w:asciiTheme="minorHAnsi" w:eastAsiaTheme="minorHAnsi" w:hAnsiTheme="minorHAnsi" w:cstheme="minorHAnsi"/>
          <w:b w:val="0"/>
          <w:bCs w:val="0"/>
          <w:sz w:val="22"/>
          <w:szCs w:val="22"/>
          <w:lang w:val="en-US"/>
        </w:rPr>
        <w:t>(</w:t>
      </w:r>
      <w:r w:rsidR="00E01650" w:rsidRPr="002F6199">
        <w:rPr>
          <w:position w:val="-12"/>
        </w:rPr>
        <w:object w:dxaOrig="320" w:dyaOrig="360">
          <v:shape id="_x0000_i1038" type="#_x0000_t75" style="width:16.3pt;height:18.15pt" o:ole="">
            <v:imagedata r:id="rId36" o:title=""/>
          </v:shape>
          <o:OLEObject Type="Embed" ProgID="Equation.3" ShapeID="_x0000_i1038" DrawAspect="Content" ObjectID="_1572774581" r:id="rId37"/>
        </w:object>
      </w:r>
      <w:r w:rsidR="00E01650" w:rsidRPr="002F6199">
        <w:t xml:space="preserve">) </w:t>
      </w:r>
      <w:r w:rsidRPr="002F6199">
        <w:rPr>
          <w:rFonts w:asciiTheme="minorHAnsi" w:eastAsiaTheme="minorHAnsi" w:hAnsiTheme="minorHAnsi" w:cstheme="minorHAnsi"/>
          <w:b w:val="0"/>
          <w:bCs w:val="0"/>
          <w:sz w:val="22"/>
          <w:szCs w:val="22"/>
          <w:lang w:val="en-US"/>
        </w:rPr>
        <w:t>and minimal crop area (e.g. state procurement) for cotton</w:t>
      </w:r>
      <w:r w:rsidR="00E01650" w:rsidRPr="002F6199">
        <w:rPr>
          <w:rFonts w:asciiTheme="minorHAnsi" w:eastAsiaTheme="minorHAnsi" w:hAnsiTheme="minorHAnsi" w:cstheme="minorHAnsi"/>
          <w:b w:val="0"/>
          <w:bCs w:val="0"/>
          <w:sz w:val="22"/>
          <w:szCs w:val="22"/>
          <w:lang w:val="en-US"/>
        </w:rPr>
        <w:t xml:space="preserve"> (</w:t>
      </w:r>
      <w:r w:rsidR="00E01650" w:rsidRPr="002F6199">
        <w:rPr>
          <w:position w:val="-12"/>
        </w:rPr>
        <w:object w:dxaOrig="400" w:dyaOrig="380">
          <v:shape id="_x0000_i1039" type="#_x0000_t75" style="width:20.05pt;height:18.8pt" o:ole="">
            <v:imagedata r:id="rId38" o:title=""/>
          </v:shape>
          <o:OLEObject Type="Embed" ProgID="Equation.3" ShapeID="_x0000_i1039" DrawAspect="Content" ObjectID="_1572774582" r:id="rId39"/>
        </w:object>
      </w:r>
      <w:r w:rsidR="00E01650" w:rsidRPr="002F6199">
        <w:t>)</w:t>
      </w:r>
      <w:r w:rsidRPr="002F6199">
        <w:rPr>
          <w:rFonts w:asciiTheme="minorHAnsi" w:eastAsiaTheme="minorHAnsi" w:hAnsiTheme="minorHAnsi" w:cstheme="minorHAnsi"/>
          <w:b w:val="0"/>
          <w:bCs w:val="0"/>
          <w:sz w:val="22"/>
          <w:szCs w:val="22"/>
          <w:lang w:val="en-US"/>
        </w:rPr>
        <w:t xml:space="preserve"> and wheat </w:t>
      </w:r>
      <w:r w:rsidR="00E01650" w:rsidRPr="002F6199">
        <w:rPr>
          <w:rFonts w:asciiTheme="minorHAnsi" w:eastAsiaTheme="minorHAnsi" w:hAnsiTheme="minorHAnsi" w:cstheme="minorHAnsi"/>
          <w:b w:val="0"/>
          <w:bCs w:val="0"/>
          <w:sz w:val="22"/>
          <w:szCs w:val="22"/>
          <w:lang w:val="en-US"/>
        </w:rPr>
        <w:t>(</w:t>
      </w:r>
      <w:r w:rsidR="00E01650" w:rsidRPr="002F6199">
        <w:rPr>
          <w:position w:val="-12"/>
        </w:rPr>
        <w:object w:dxaOrig="440" w:dyaOrig="380">
          <v:shape id="_x0000_i1040" type="#_x0000_t75" style="width:21.9pt;height:18.8pt" o:ole="">
            <v:imagedata r:id="rId40" o:title=""/>
          </v:shape>
          <o:OLEObject Type="Embed" ProgID="Equation.3" ShapeID="_x0000_i1040" DrawAspect="Content" ObjectID="_1572774583" r:id="rId41"/>
        </w:object>
      </w:r>
      <w:r w:rsidR="00E01650" w:rsidRPr="002F6199">
        <w:t xml:space="preserve">) </w:t>
      </w:r>
      <w:r w:rsidRPr="002F6199">
        <w:rPr>
          <w:rFonts w:asciiTheme="minorHAnsi" w:eastAsiaTheme="minorHAnsi" w:hAnsiTheme="minorHAnsi" w:cstheme="minorHAnsi"/>
          <w:b w:val="0"/>
          <w:bCs w:val="0"/>
          <w:sz w:val="22"/>
          <w:szCs w:val="22"/>
          <w:lang w:val="en-US"/>
        </w:rPr>
        <w:t xml:space="preserve">in Uzbekistan: </w:t>
      </w:r>
    </w:p>
    <w:p w:rsidR="00432105" w:rsidRPr="002F6199" w:rsidRDefault="00EF7D8F" w:rsidP="002F6199">
      <w:pPr>
        <w:pStyle w:val="Beschriftung"/>
        <w:rPr>
          <w:b w:val="0"/>
          <w:position w:val="-16"/>
          <w:sz w:val="24"/>
          <w:szCs w:val="24"/>
          <w:lang w:val="en-US"/>
        </w:rPr>
      </w:pPr>
      <w:r w:rsidRPr="002F6199">
        <w:rPr>
          <w:position w:val="-28"/>
          <w:sz w:val="24"/>
          <w:szCs w:val="24"/>
          <w:lang w:val="en-US"/>
        </w:rPr>
        <w:object w:dxaOrig="1760" w:dyaOrig="540">
          <v:shape id="_x0000_i1041" type="#_x0000_t75" style="width:93.3pt;height:30.7pt" o:ole="">
            <v:imagedata r:id="rId42" o:title=""/>
          </v:shape>
          <o:OLEObject Type="Embed" ProgID="Equation.3" ShapeID="_x0000_i1041" DrawAspect="Content" ObjectID="_1572774584" r:id="rId43"/>
        </w:object>
      </w:r>
      <w:r w:rsidR="00432105" w:rsidRPr="002F6199">
        <w:rPr>
          <w:position w:val="-16"/>
          <w:sz w:val="24"/>
          <w:szCs w:val="24"/>
          <w:lang w:val="en-US"/>
        </w:rPr>
        <w:tab/>
      </w:r>
      <w:r w:rsidR="00432105" w:rsidRPr="002F6199">
        <w:rPr>
          <w:position w:val="-16"/>
          <w:sz w:val="24"/>
          <w:szCs w:val="24"/>
          <w:lang w:val="en-US"/>
        </w:rPr>
        <w:tab/>
      </w:r>
      <w:r w:rsidR="00432105" w:rsidRPr="002F6199">
        <w:rPr>
          <w:position w:val="-16"/>
          <w:sz w:val="24"/>
          <w:szCs w:val="24"/>
          <w:lang w:val="en-US"/>
        </w:rPr>
        <w:tab/>
      </w:r>
      <w:r w:rsidR="00432105" w:rsidRPr="002F6199">
        <w:rPr>
          <w:position w:val="-16"/>
          <w:sz w:val="24"/>
          <w:szCs w:val="24"/>
          <w:lang w:val="en-US"/>
        </w:rPr>
        <w:tab/>
      </w:r>
      <w:r w:rsidR="00432105" w:rsidRPr="002F6199">
        <w:rPr>
          <w:position w:val="-16"/>
          <w:sz w:val="24"/>
          <w:szCs w:val="24"/>
          <w:lang w:val="en-US"/>
        </w:rPr>
        <w:tab/>
      </w:r>
      <w:r w:rsidR="00432105" w:rsidRPr="002F6199">
        <w:rPr>
          <w:position w:val="-16"/>
          <w:sz w:val="24"/>
          <w:szCs w:val="24"/>
          <w:lang w:val="en-US"/>
        </w:rPr>
        <w:tab/>
      </w:r>
      <w:r w:rsidR="00432105" w:rsidRPr="002F6199">
        <w:rPr>
          <w:b w:val="0"/>
          <w:position w:val="-16"/>
          <w:sz w:val="24"/>
          <w:szCs w:val="24"/>
          <w:lang w:val="en-US"/>
        </w:rPr>
        <w:t>(5)</w:t>
      </w:r>
    </w:p>
    <w:p w:rsidR="00F468CF" w:rsidRPr="002F6199" w:rsidRDefault="00EF7D8F" w:rsidP="002F6199">
      <w:pPr>
        <w:pStyle w:val="Beschriftung"/>
        <w:rPr>
          <w:position w:val="-16"/>
          <w:sz w:val="24"/>
          <w:szCs w:val="24"/>
          <w:lang w:val="en-US"/>
        </w:rPr>
      </w:pPr>
      <w:r w:rsidRPr="002F6199">
        <w:rPr>
          <w:position w:val="-28"/>
          <w:sz w:val="24"/>
          <w:szCs w:val="24"/>
          <w:lang w:val="en-US"/>
        </w:rPr>
        <w:object w:dxaOrig="1820" w:dyaOrig="540">
          <v:shape id="_x0000_i1042" type="#_x0000_t75" style="width:96.4pt;height:30.7pt" o:ole="">
            <v:imagedata r:id="rId44" o:title=""/>
          </v:shape>
          <o:OLEObject Type="Embed" ProgID="Equation.3" ShapeID="_x0000_i1042" DrawAspect="Content" ObjectID="_1572774585" r:id="rId45"/>
        </w:object>
      </w:r>
      <w:r w:rsidR="00F468CF" w:rsidRPr="002F6199">
        <w:rPr>
          <w:position w:val="-16"/>
          <w:sz w:val="24"/>
          <w:szCs w:val="24"/>
          <w:lang w:val="en-US"/>
        </w:rPr>
        <w:tab/>
      </w:r>
      <w:r w:rsidR="00F468CF" w:rsidRPr="002F6199">
        <w:rPr>
          <w:position w:val="-16"/>
          <w:sz w:val="24"/>
          <w:szCs w:val="24"/>
          <w:lang w:val="en-US"/>
        </w:rPr>
        <w:tab/>
      </w:r>
      <w:r w:rsidR="00F468CF" w:rsidRPr="002F6199">
        <w:rPr>
          <w:position w:val="-16"/>
          <w:sz w:val="24"/>
          <w:szCs w:val="24"/>
          <w:lang w:val="en-US"/>
        </w:rPr>
        <w:tab/>
      </w:r>
      <w:r w:rsidR="00F468CF" w:rsidRPr="002F6199">
        <w:rPr>
          <w:position w:val="-16"/>
          <w:sz w:val="24"/>
          <w:szCs w:val="24"/>
          <w:lang w:val="en-US"/>
        </w:rPr>
        <w:tab/>
      </w:r>
      <w:r w:rsidR="00F468CF" w:rsidRPr="002F6199">
        <w:rPr>
          <w:position w:val="-16"/>
          <w:sz w:val="24"/>
          <w:szCs w:val="24"/>
          <w:lang w:val="en-US"/>
        </w:rPr>
        <w:tab/>
      </w:r>
      <w:r w:rsidR="00F468CF" w:rsidRPr="002F6199">
        <w:rPr>
          <w:position w:val="-16"/>
          <w:sz w:val="24"/>
          <w:szCs w:val="24"/>
          <w:lang w:val="en-US"/>
        </w:rPr>
        <w:tab/>
      </w:r>
      <w:r w:rsidR="00F468CF" w:rsidRPr="002F6199">
        <w:rPr>
          <w:b w:val="0"/>
          <w:position w:val="-16"/>
          <w:sz w:val="24"/>
          <w:szCs w:val="24"/>
          <w:lang w:val="en-US"/>
        </w:rPr>
        <w:t>(</w:t>
      </w:r>
      <w:r w:rsidR="0098732F" w:rsidRPr="002F6199">
        <w:rPr>
          <w:b w:val="0"/>
          <w:position w:val="-16"/>
          <w:sz w:val="24"/>
          <w:szCs w:val="24"/>
          <w:lang w:val="en-US"/>
        </w:rPr>
        <w:t>6</w:t>
      </w:r>
      <w:r w:rsidR="00F468CF" w:rsidRPr="002F6199">
        <w:rPr>
          <w:b w:val="0"/>
          <w:position w:val="-16"/>
          <w:sz w:val="24"/>
          <w:szCs w:val="24"/>
          <w:lang w:val="en-US"/>
        </w:rPr>
        <w:t>)</w:t>
      </w:r>
    </w:p>
    <w:p w:rsidR="00E01650" w:rsidRPr="002F6199" w:rsidRDefault="00EF7D8F" w:rsidP="002F6199">
      <w:pPr>
        <w:pStyle w:val="Beschriftung"/>
        <w:rPr>
          <w:b w:val="0"/>
          <w:position w:val="-16"/>
          <w:sz w:val="24"/>
          <w:szCs w:val="24"/>
          <w:lang w:val="en-US"/>
        </w:rPr>
      </w:pPr>
      <w:r w:rsidRPr="002F6199">
        <w:rPr>
          <w:position w:val="-28"/>
          <w:sz w:val="24"/>
          <w:szCs w:val="24"/>
          <w:lang w:val="en-US"/>
        </w:rPr>
        <w:object w:dxaOrig="1560" w:dyaOrig="540">
          <v:shape id="_x0000_i1043" type="#_x0000_t75" style="width:82.65pt;height:30.7pt" o:ole="">
            <v:imagedata r:id="rId46" o:title=""/>
          </v:shape>
          <o:OLEObject Type="Embed" ProgID="Equation.3" ShapeID="_x0000_i1043" DrawAspect="Content" ObjectID="_1572774586" r:id="rId47"/>
        </w:object>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b w:val="0"/>
          <w:position w:val="-16"/>
          <w:sz w:val="24"/>
          <w:szCs w:val="24"/>
          <w:lang w:val="en-US"/>
        </w:rPr>
        <w:t>(7)</w:t>
      </w:r>
    </w:p>
    <w:p w:rsidR="00E01650" w:rsidRPr="002F6199" w:rsidRDefault="00EF7D8F" w:rsidP="002F6199">
      <w:pPr>
        <w:pStyle w:val="Beschriftung"/>
        <w:rPr>
          <w:position w:val="-16"/>
          <w:sz w:val="24"/>
          <w:szCs w:val="24"/>
          <w:lang w:val="en-US"/>
        </w:rPr>
      </w:pPr>
      <w:r w:rsidRPr="002F6199">
        <w:rPr>
          <w:position w:val="-28"/>
          <w:sz w:val="24"/>
          <w:szCs w:val="24"/>
          <w:lang w:val="en-US"/>
        </w:rPr>
        <w:object w:dxaOrig="1620" w:dyaOrig="540">
          <v:shape id="_x0000_i1044" type="#_x0000_t75" style="width:85.75pt;height:30.7pt" o:ole="">
            <v:imagedata r:id="rId48" o:title=""/>
          </v:shape>
          <o:OLEObject Type="Embed" ProgID="Equation.3" ShapeID="_x0000_i1044" DrawAspect="Content" ObjectID="_1572774587" r:id="rId49"/>
        </w:object>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position w:val="-16"/>
          <w:sz w:val="24"/>
          <w:szCs w:val="24"/>
          <w:lang w:val="en-US"/>
        </w:rPr>
        <w:tab/>
      </w:r>
      <w:r w:rsidR="00E01650" w:rsidRPr="002F6199">
        <w:rPr>
          <w:b w:val="0"/>
          <w:position w:val="-16"/>
          <w:sz w:val="24"/>
          <w:szCs w:val="24"/>
          <w:lang w:val="en-US"/>
        </w:rPr>
        <w:t>(8)</w:t>
      </w:r>
    </w:p>
    <w:p w:rsidR="00E01650" w:rsidRPr="002F6199" w:rsidRDefault="001F611E" w:rsidP="002F6199">
      <w:pPr>
        <w:tabs>
          <w:tab w:val="left" w:pos="567"/>
        </w:tabs>
        <w:spacing w:after="100" w:afterAutospacing="1" w:line="360" w:lineRule="auto"/>
        <w:jc w:val="both"/>
        <w:rPr>
          <w:rFonts w:cstheme="minorHAnsi"/>
          <w:lang w:val="en-US"/>
        </w:rPr>
      </w:pPr>
      <w:r w:rsidRPr="002F6199">
        <w:rPr>
          <w:rFonts w:cstheme="minorHAnsi"/>
          <w:lang w:val="en-US"/>
        </w:rPr>
        <w:t xml:space="preserve">where, </w:t>
      </w:r>
      <w:r w:rsidR="00EF7D8F" w:rsidRPr="002F6199">
        <w:rPr>
          <w:position w:val="-12"/>
        </w:rPr>
        <w:object w:dxaOrig="400" w:dyaOrig="360">
          <v:shape id="_x0000_i1045" type="#_x0000_t75" style="width:20.05pt;height:18.15pt" o:ole="">
            <v:imagedata r:id="rId50" o:title=""/>
          </v:shape>
          <o:OLEObject Type="Embed" ProgID="Equation.3" ShapeID="_x0000_i1045" DrawAspect="Content" ObjectID="_1572774588" r:id="rId51"/>
        </w:object>
      </w:r>
      <w:r w:rsidR="00EF7D8F" w:rsidRPr="002F6199">
        <w:rPr>
          <w:lang w:val="en-US"/>
        </w:rPr>
        <w:t xml:space="preserve"> is the input use coefficient for crop </w:t>
      </w:r>
      <w:r w:rsidR="00EF7D8F" w:rsidRPr="002F6199">
        <w:rPr>
          <w:i/>
          <w:lang w:val="en-US"/>
        </w:rPr>
        <w:t>i</w:t>
      </w:r>
      <w:r w:rsidR="00EF7D8F" w:rsidRPr="002F6199">
        <w:rPr>
          <w:lang w:val="en-US"/>
        </w:rPr>
        <w:t xml:space="preserve"> under management level k (low, average and high), </w:t>
      </w:r>
      <w:r w:rsidRPr="002F6199">
        <w:rPr>
          <w:position w:val="-12"/>
        </w:rPr>
        <w:object w:dxaOrig="380" w:dyaOrig="360">
          <v:shape id="_x0000_i1046" type="#_x0000_t75" style="width:18.8pt;height:18.15pt" o:ole="">
            <v:imagedata r:id="rId52" o:title=""/>
          </v:shape>
          <o:OLEObject Type="Embed" ProgID="Equation.3" ShapeID="_x0000_i1046" DrawAspect="Content" ObjectID="_1572774589" r:id="rId53"/>
        </w:object>
      </w:r>
      <w:r w:rsidRPr="002F6199">
        <w:rPr>
          <w:lang w:val="en-US"/>
        </w:rPr>
        <w:t xml:space="preserve"> is the are</w:t>
      </w:r>
      <w:r w:rsidR="00EF7D8F" w:rsidRPr="002F6199">
        <w:rPr>
          <w:lang w:val="en-US"/>
        </w:rPr>
        <w:t>a</w:t>
      </w:r>
      <w:r w:rsidRPr="002F6199">
        <w:rPr>
          <w:lang w:val="en-US"/>
        </w:rPr>
        <w:t xml:space="preserve"> of crop i </w:t>
      </w:r>
      <w:r w:rsidR="00EF7D8F" w:rsidRPr="002F6199">
        <w:rPr>
          <w:lang w:val="en-US"/>
        </w:rPr>
        <w:t xml:space="preserve">under management level k, </w:t>
      </w:r>
      <w:r w:rsidR="00EF7D8F" w:rsidRPr="002F6199">
        <w:rPr>
          <w:position w:val="-12"/>
        </w:rPr>
        <w:object w:dxaOrig="639" w:dyaOrig="380">
          <v:shape id="_x0000_i1047" type="#_x0000_t75" style="width:31.95pt;height:18.8pt" o:ole="">
            <v:imagedata r:id="rId54" o:title=""/>
          </v:shape>
          <o:OLEObject Type="Embed" ProgID="Equation.3" ShapeID="_x0000_i1047" DrawAspect="Content" ObjectID="_1572774590" r:id="rId55"/>
        </w:object>
      </w:r>
      <w:r w:rsidR="00EF7D8F" w:rsidRPr="002F6199">
        <w:rPr>
          <w:lang w:val="en-US"/>
        </w:rPr>
        <w:t xml:space="preserve"> the area under cotton in Uzbekistan and </w:t>
      </w:r>
      <w:r w:rsidR="00EF7D8F" w:rsidRPr="002F6199">
        <w:rPr>
          <w:position w:val="-12"/>
        </w:rPr>
        <w:object w:dxaOrig="660" w:dyaOrig="380">
          <v:shape id="_x0000_i1048" type="#_x0000_t75" style="width:33.2pt;height:18.8pt" o:ole="">
            <v:imagedata r:id="rId56" o:title=""/>
          </v:shape>
          <o:OLEObject Type="Embed" ProgID="Equation.3" ShapeID="_x0000_i1048" DrawAspect="Content" ObjectID="_1572774591" r:id="rId57"/>
        </w:object>
      </w:r>
      <w:r w:rsidR="00EF7D8F" w:rsidRPr="002F6199">
        <w:rPr>
          <w:lang w:val="en-US"/>
        </w:rPr>
        <w:t xml:space="preserve"> is the area under wheat in Uzbekistan. </w:t>
      </w:r>
    </w:p>
    <w:p w:rsidR="006C623A" w:rsidRPr="002F6199" w:rsidRDefault="006C623A" w:rsidP="002F6199">
      <w:pPr>
        <w:tabs>
          <w:tab w:val="left" w:pos="567"/>
        </w:tabs>
        <w:spacing w:after="100" w:afterAutospacing="1" w:line="360" w:lineRule="auto"/>
        <w:jc w:val="both"/>
        <w:rPr>
          <w:rFonts w:cstheme="minorHAnsi"/>
          <w:lang w:val="en-US"/>
        </w:rPr>
      </w:pPr>
      <w:r w:rsidRPr="002F6199">
        <w:rPr>
          <w:rFonts w:cstheme="minorHAnsi"/>
          <w:lang w:val="en-US"/>
        </w:rPr>
        <w:t xml:space="preserve">Long-term price and country level production data </w:t>
      </w:r>
      <w:r w:rsidR="0088465D" w:rsidRPr="002F6199">
        <w:rPr>
          <w:rFonts w:cstheme="minorHAnsi"/>
          <w:lang w:val="en-US"/>
        </w:rPr>
        <w:t xml:space="preserve">in equations 3 and 4 are </w:t>
      </w:r>
      <w:r w:rsidRPr="002F6199">
        <w:rPr>
          <w:rFonts w:cstheme="minorHAnsi"/>
          <w:lang w:val="en-US"/>
        </w:rPr>
        <w:t xml:space="preserve">compiled from international (FAO) </w:t>
      </w:r>
      <w:r w:rsidR="00E63F3B" w:rsidRPr="002F6199">
        <w:rPr>
          <w:rFonts w:cstheme="minorHAnsi"/>
          <w:lang w:val="en-US"/>
        </w:rPr>
        <w:t>(</w:t>
      </w:r>
      <w:hyperlink r:id="rId58" w:history="1">
        <w:r w:rsidR="00183AE6" w:rsidRPr="002F6199">
          <w:rPr>
            <w:rStyle w:val="Hyperlink"/>
            <w:rFonts w:cstheme="minorHAnsi"/>
            <w:lang w:val="en-US"/>
          </w:rPr>
          <w:t>http://faostat.fao.org/</w:t>
        </w:r>
      </w:hyperlink>
      <w:r w:rsidR="00E63F3B" w:rsidRPr="002F6199">
        <w:rPr>
          <w:rFonts w:cstheme="minorHAnsi"/>
          <w:lang w:val="en-US"/>
        </w:rPr>
        <w:t xml:space="preserve">) </w:t>
      </w:r>
      <w:r w:rsidRPr="002F6199">
        <w:rPr>
          <w:rFonts w:cstheme="minorHAnsi"/>
          <w:lang w:val="en-US"/>
        </w:rPr>
        <w:t>and national statistical committees</w:t>
      </w:r>
      <w:r w:rsidR="00E63F3B" w:rsidRPr="002F6199">
        <w:rPr>
          <w:rFonts w:cstheme="minorHAnsi"/>
          <w:lang w:val="en-US"/>
        </w:rPr>
        <w:t xml:space="preserve"> (</w:t>
      </w:r>
      <w:hyperlink r:id="rId59" w:history="1">
        <w:r w:rsidR="00E63F3B" w:rsidRPr="002F6199">
          <w:rPr>
            <w:rStyle w:val="Hyperlink"/>
            <w:rFonts w:cstheme="minorHAnsi"/>
            <w:lang w:val="en-US"/>
          </w:rPr>
          <w:t>www.stat.uz</w:t>
        </w:r>
      </w:hyperlink>
      <w:r w:rsidR="00E63F3B" w:rsidRPr="002F6199">
        <w:rPr>
          <w:rFonts w:cstheme="minorHAnsi"/>
          <w:lang w:val="en-US"/>
        </w:rPr>
        <w:t xml:space="preserve">, </w:t>
      </w:r>
      <w:hyperlink r:id="rId60" w:history="1">
        <w:r w:rsidR="00E63F3B" w:rsidRPr="002F6199">
          <w:rPr>
            <w:rStyle w:val="Hyperlink"/>
            <w:rFonts w:cstheme="minorHAnsi"/>
            <w:lang w:val="en-US"/>
          </w:rPr>
          <w:t>www.stat.kz</w:t>
        </w:r>
      </w:hyperlink>
      <w:r w:rsidR="00E63F3B" w:rsidRPr="002F6199">
        <w:rPr>
          <w:rFonts w:cstheme="minorHAnsi"/>
          <w:lang w:val="en-US"/>
        </w:rPr>
        <w:t xml:space="preserve">, </w:t>
      </w:r>
      <w:hyperlink r:id="rId61" w:history="1">
        <w:r w:rsidR="00E63F3B" w:rsidRPr="002F6199">
          <w:rPr>
            <w:rStyle w:val="Hyperlink"/>
            <w:rFonts w:cstheme="minorHAnsi"/>
            <w:lang w:val="en-US"/>
          </w:rPr>
          <w:t>www.stat.tj</w:t>
        </w:r>
      </w:hyperlink>
      <w:r w:rsidR="00E63F3B" w:rsidRPr="002F6199">
        <w:rPr>
          <w:rFonts w:cstheme="minorHAnsi"/>
          <w:lang w:val="en-US"/>
        </w:rPr>
        <w:t xml:space="preserve">, </w:t>
      </w:r>
      <w:hyperlink r:id="rId62" w:history="1">
        <w:r w:rsidR="00E63F3B" w:rsidRPr="002F6199">
          <w:rPr>
            <w:rStyle w:val="Hyperlink"/>
            <w:rFonts w:cstheme="minorHAnsi"/>
            <w:lang w:val="en-US"/>
          </w:rPr>
          <w:t>www.stat.kg</w:t>
        </w:r>
      </w:hyperlink>
      <w:r w:rsidR="00E63F3B" w:rsidRPr="002F6199">
        <w:rPr>
          <w:rFonts w:cstheme="minorHAnsi"/>
          <w:lang w:val="en-US"/>
        </w:rPr>
        <w:t xml:space="preserve">) </w:t>
      </w:r>
      <w:r w:rsidRPr="002F6199">
        <w:rPr>
          <w:rFonts w:cstheme="minorHAnsi"/>
          <w:lang w:val="en-US"/>
        </w:rPr>
        <w:t xml:space="preserve">to estimate the variability of commodity prices and price-yield covariance in the model. The price-yield correlations in the model are in the range of -0.2 and -0.4. Variable costs of production under present conditions were estimated from the household survey data. </w:t>
      </w:r>
    </w:p>
    <w:p w:rsidR="0061066F" w:rsidRPr="002F6199" w:rsidRDefault="0061066F" w:rsidP="002F6199">
      <w:pPr>
        <w:pStyle w:val="berschrift1"/>
        <w:numPr>
          <w:ilvl w:val="0"/>
          <w:numId w:val="3"/>
        </w:numPr>
        <w:rPr>
          <w:rFonts w:asciiTheme="minorHAnsi" w:hAnsiTheme="minorHAnsi"/>
          <w:szCs w:val="22"/>
          <w:lang w:val="en-US"/>
        </w:rPr>
      </w:pPr>
      <w:r w:rsidRPr="002F6199">
        <w:rPr>
          <w:rFonts w:asciiTheme="minorHAnsi" w:hAnsiTheme="minorHAnsi"/>
          <w:szCs w:val="22"/>
          <w:lang w:val="en-US"/>
        </w:rPr>
        <w:t xml:space="preserve">Model calibration and sensitivity tests </w:t>
      </w:r>
    </w:p>
    <w:p w:rsidR="0061066F" w:rsidRPr="002F6199" w:rsidRDefault="0061066F" w:rsidP="002F6199">
      <w:pPr>
        <w:spacing w:line="360" w:lineRule="auto"/>
        <w:jc w:val="both"/>
        <w:rPr>
          <w:rFonts w:cstheme="minorHAnsi"/>
          <w:lang w:val="en-US"/>
        </w:rPr>
      </w:pPr>
      <w:r w:rsidRPr="002F6199">
        <w:rPr>
          <w:rFonts w:cstheme="minorHAnsi"/>
          <w:lang w:val="en-US"/>
        </w:rPr>
        <w:t xml:space="preserve">The optimization model is calibrated by adjusting the risk aversion parameter </w:t>
      </w:r>
      <w:r w:rsidRPr="002F6199">
        <w:rPr>
          <w:position w:val="-6"/>
        </w:rPr>
        <w:object w:dxaOrig="220" w:dyaOrig="279">
          <v:shape id="_x0000_i1049" type="#_x0000_t75" style="width:11.25pt;height:13.75pt" o:ole="">
            <v:imagedata r:id="rId63" o:title=""/>
          </v:shape>
          <o:OLEObject Type="Embed" ProgID="Equation.3" ShapeID="_x0000_i1049" DrawAspect="Content" ObjectID="_1572774592" r:id="rId64"/>
        </w:object>
      </w:r>
      <w:r w:rsidRPr="002F6199">
        <w:rPr>
          <w:rFonts w:cstheme="minorHAnsi"/>
          <w:lang w:val="en-US"/>
        </w:rPr>
        <w:t xml:space="preserve"> in equation 1 </w:t>
      </w:r>
      <w:r w:rsidRPr="002F6199">
        <w:rPr>
          <w:rFonts w:cstheme="minorHAnsi"/>
        </w:rPr>
        <w:fldChar w:fldCharType="begin"/>
      </w:r>
      <w:r w:rsidRPr="002F6199">
        <w:rPr>
          <w:rFonts w:cstheme="minorHAnsi"/>
          <w:lang w:val="en-US"/>
        </w:rPr>
        <w:instrText xml:space="preserve"> ADDIN EN.CITE &lt;EndNote&gt;&lt;Cite&gt;&lt;Author&gt;Heckelei&lt;/Author&gt;&lt;Year&gt;2002&lt;/Year&gt;&lt;RecNum&gt;159&lt;/RecNum&gt;&lt;DisplayText&gt;(Howitt, 1995; Heckelei, 2002)&lt;/DisplayText&gt;&lt;record&gt;&lt;rec-number&gt;159&lt;/rec-number&gt;&lt;foreign-keys&gt;&lt;key app="EN" db-id="0erxvrzsjv5szqefaesv09e4awxs2t5saw90"&gt;159&lt;/key&gt;&lt;/foreign-keys&gt;&lt;ref-type name="Thesis"&gt;32&lt;/ref-type&gt;&lt;contributors&gt;&lt;authors&gt;&lt;author&gt;Heckelei, T.&lt;/author&gt;&lt;/authors&gt;&lt;/contributors&gt;&lt;titles&gt;&lt;title&gt;Calibration and estimation of programming models for agricultural supply analysis&lt;/title&gt;&lt;/titles&gt;&lt;volume&gt;Habilitationsschrift&lt;/volume&gt;&lt;dates&gt;&lt;year&gt;2002&lt;/year&gt;&lt;/dates&gt;&lt;pub-location&gt;Bonn&lt;/pub-location&gt;&lt;publisher&gt;Universität Bonn&lt;/publisher&gt;&lt;urls&gt;&lt;/urls&gt;&lt;/record&gt;&lt;/Cite&gt;&lt;Cite&gt;&lt;Author&gt;Howitt&lt;/Author&gt;&lt;Year&gt;1995&lt;/Year&gt;&lt;RecNum&gt;160&lt;/RecNum&gt;&lt;record&gt;&lt;rec-number&gt;160&lt;/rec-number&gt;&lt;foreign-keys&gt;&lt;key app="EN" db-id="0erxvrzsjv5szqefaesv09e4awxs2t5saw90"&gt;160&lt;/key&gt;&lt;/foreign-keys&gt;&lt;ref-type name="Journal Article"&gt;17&lt;/ref-type&gt;&lt;contributors&gt;&lt;authors&gt;&lt;author&gt;Richard E. Howitt&lt;/author&gt;&lt;/authors&gt;&lt;/contributors&gt;&lt;titles&gt;&lt;title&gt;Positive Mathematical Programming&lt;/title&gt;&lt;secondary-title&gt;American Journal of Agricultural Economics &lt;/secondary-title&gt;&lt;/titles&gt;&lt;periodical&gt;&lt;full-title&gt;American Journal of Agricultural Economics&lt;/full-title&gt;&lt;/periodical&gt;&lt;pages&gt;329-342 &lt;/pages&gt;&lt;volume&gt;77&lt;/volume&gt;&lt;number&gt;2&lt;/number&gt;&lt;dates&gt;&lt;year&gt;1995&lt;/year&gt;&lt;/dates&gt;&lt;urls&gt;&lt;/urls&gt;&lt;/record&gt;&lt;/Cite&gt;&lt;/EndNote&gt;</w:instrText>
      </w:r>
      <w:r w:rsidRPr="002F6199">
        <w:rPr>
          <w:rFonts w:cstheme="minorHAnsi"/>
        </w:rPr>
        <w:fldChar w:fldCharType="separate"/>
      </w:r>
      <w:r w:rsidRPr="002F6199">
        <w:rPr>
          <w:rFonts w:cstheme="minorHAnsi"/>
          <w:noProof/>
          <w:lang w:val="en-US"/>
        </w:rPr>
        <w:t>(</w:t>
      </w:r>
      <w:hyperlink w:anchor="_ENREF_9" w:tooltip="Howitt, 1995 #160" w:history="1">
        <w:r w:rsidR="007C49FB" w:rsidRPr="002F6199">
          <w:rPr>
            <w:rFonts w:cstheme="minorHAnsi"/>
            <w:noProof/>
            <w:lang w:val="en-US"/>
          </w:rPr>
          <w:t>Howitt, 1995</w:t>
        </w:r>
      </w:hyperlink>
      <w:r w:rsidRPr="002F6199">
        <w:rPr>
          <w:rFonts w:cstheme="minorHAnsi"/>
          <w:noProof/>
          <w:lang w:val="en-US"/>
        </w:rPr>
        <w:t xml:space="preserve">; </w:t>
      </w:r>
      <w:hyperlink w:anchor="_ENREF_8" w:tooltip="Heckelei, 2002 #159" w:history="1">
        <w:r w:rsidR="007C49FB" w:rsidRPr="002F6199">
          <w:rPr>
            <w:rFonts w:cstheme="minorHAnsi"/>
            <w:noProof/>
            <w:lang w:val="en-US"/>
          </w:rPr>
          <w:t>Heckelei, 2002</w:t>
        </w:r>
      </w:hyperlink>
      <w:r w:rsidRPr="002F6199">
        <w:rPr>
          <w:rFonts w:cstheme="minorHAnsi"/>
          <w:noProof/>
          <w:lang w:val="en-US"/>
        </w:rPr>
        <w:t>)</w:t>
      </w:r>
      <w:r w:rsidRPr="002F6199">
        <w:rPr>
          <w:rFonts w:cstheme="minorHAnsi"/>
        </w:rPr>
        <w:fldChar w:fldCharType="end"/>
      </w:r>
      <w:r w:rsidRPr="002F6199">
        <w:rPr>
          <w:rFonts w:cstheme="minorHAnsi"/>
          <w:lang w:val="en-US"/>
        </w:rPr>
        <w:t xml:space="preserve">. The model is calibrated to the observed crop allocation in each of the agro-ecological zones considered. Moreover, policies such as state procurement for cotton and wheat in Uzbekistan are incorporated in the model as constraints in the face of which the optimization should take place. The main reason for introducing the state order constraint is to capture allocation of crops with lower income (or higher risk) due to certain policy restrictions which will not be planted otherwise </w:t>
      </w:r>
      <w:r w:rsidRPr="002F6199">
        <w:rPr>
          <w:rFonts w:cstheme="minorHAnsi"/>
        </w:rPr>
        <w:fldChar w:fldCharType="begin"/>
      </w:r>
      <w:r w:rsidRPr="002F6199">
        <w:rPr>
          <w:rFonts w:cstheme="minorHAnsi"/>
          <w:lang w:val="en-US"/>
        </w:rPr>
        <w:instrText xml:space="preserve"> ADDIN EN.CITE &lt;EndNote&gt;&lt;Cite&gt;&lt;Author&gt;Bobojonov&lt;/Author&gt;&lt;Year&gt;2010&lt;/Year&gt;&lt;RecNum&gt;118&lt;/RecNum&gt;&lt;DisplayText&gt;(Bobojonov&lt;style face="italic"&gt; et al.&lt;/style&gt;, 2010; Djanibekov&lt;style face="italic"&gt; et al.&lt;/style&gt;, 2012)&lt;/DisplayText&gt;&lt;record&gt;&lt;rec-number&gt;118&lt;/rec-number&gt;&lt;foreign-keys&gt;&lt;key app="EN" db-id="0erxvrzsjv5szqefaesv09e4awxs2t5saw90"&gt;118&lt;/key&gt;&lt;/foreign-keys&gt;&lt;ref-type name="Journal Article"&gt;17&lt;/ref-type&gt;&lt;contributors&gt;&lt;authors&gt;&lt;author&gt;Bobojonov, I.&lt;/author&gt;&lt;author&gt;Franz, J. &lt;/author&gt;&lt;author&gt;Berg, E. &lt;/author&gt;&lt;author&gt;Lamers, J. P. A. &lt;/author&gt;&lt;author&gt;Martius, C.  &lt;/author&gt;&lt;/authors&gt;&lt;/contributors&gt;&lt;titles&gt;&lt;title&gt;Improved Policy Making for Sustainable Farming: A Case Study on Irrigated Dryland Agriculture in Western Uzbekistan.&lt;/title&gt;&lt;secondary-title&gt;Journal of Sustainable Agriculture&lt;/secondary-title&gt;&lt;/titles&gt;&lt;periodical&gt;&lt;full-title&gt;Journal of Sustainable Agriculture&lt;/full-title&gt;&lt;/periodical&gt;&lt;pages&gt;800 – 817&lt;/pages&gt;&lt;volume&gt;34&lt;/volume&gt;&lt;number&gt;7&lt;/number&gt;&lt;dates&gt;&lt;year&gt;2010&lt;/year&gt;&lt;/dates&gt;&lt;urls&gt;&lt;/urls&gt;&lt;/record&gt;&lt;/Cite&gt;&lt;Cite&gt;&lt;Author&gt;Djanibekov&lt;/Author&gt;&lt;Year&gt;2012&lt;/Year&gt;&lt;RecNum&gt;22&lt;/RecNum&gt;&lt;record&gt;&lt;rec-number&gt;22&lt;/rec-number&gt;&lt;foreign-keys&gt;&lt;key app="EN" db-id="9p0tsaewyrrw98edwetppzpje99rdddwxxtx"&gt;22&lt;/key&gt;&lt;/foreign-keys&gt;&lt;ref-type name="Journal Article"&gt;17&lt;/ref-type&gt;&lt;contributors&gt;&lt;authors&gt;&lt;author&gt;Nodir Djanibekov &lt;/author&gt;&lt;author&gt;Kristof van Assche&lt;/author&gt;&lt;author&gt;Ihtiyor Bobojonov &lt;/author&gt;&lt;author&gt;John P.A. Lamers&lt;/author&gt;&lt;/authors&gt;&lt;/contributors&gt;&lt;titles&gt;&lt;title&gt;Farm Restructuring and Land Consolidation in Uzbekistan: New Farms with Old Barriers&lt;/title&gt;&lt;secondary-title&gt;Europe-Asia Studies&lt;/secondary-title&gt;&lt;/titles&gt;&lt;periodical&gt;&lt;full-title&gt;Europe-Asia Studies&lt;/full-title&gt;&lt;/periodical&gt;&lt;pages&gt;1101-1126&lt;/pages&gt;&lt;volume&gt;64&lt;/volume&gt;&lt;number&gt;6&lt;/number&gt;&lt;dates&gt;&lt;year&gt;2012&lt;/year&gt;&lt;/dates&gt;&lt;urls&gt;&lt;/urls&gt;&lt;/record&gt;&lt;/Cite&gt;&lt;/EndNote&gt;</w:instrText>
      </w:r>
      <w:r w:rsidRPr="002F6199">
        <w:rPr>
          <w:rFonts w:cstheme="minorHAnsi"/>
        </w:rPr>
        <w:fldChar w:fldCharType="separate"/>
      </w:r>
      <w:r w:rsidRPr="002F6199">
        <w:rPr>
          <w:rFonts w:cstheme="minorHAnsi"/>
          <w:noProof/>
          <w:lang w:val="en-US"/>
        </w:rPr>
        <w:t>(</w:t>
      </w:r>
      <w:hyperlink w:anchor="_ENREF_3" w:tooltip="Bobojonov, 2010 #118" w:history="1">
        <w:r w:rsidR="007C49FB" w:rsidRPr="002F6199">
          <w:rPr>
            <w:rFonts w:cstheme="minorHAnsi"/>
            <w:noProof/>
            <w:lang w:val="en-US"/>
          </w:rPr>
          <w:t>Bobojonov</w:t>
        </w:r>
        <w:r w:rsidR="007C49FB" w:rsidRPr="002F6199">
          <w:rPr>
            <w:rFonts w:cstheme="minorHAnsi"/>
            <w:i/>
            <w:noProof/>
            <w:lang w:val="en-US"/>
          </w:rPr>
          <w:t xml:space="preserve"> et al.</w:t>
        </w:r>
        <w:r w:rsidR="007C49FB" w:rsidRPr="002F6199">
          <w:rPr>
            <w:rFonts w:cstheme="minorHAnsi"/>
            <w:noProof/>
            <w:lang w:val="en-US"/>
          </w:rPr>
          <w:t>, 2010</w:t>
        </w:r>
      </w:hyperlink>
      <w:r w:rsidRPr="002F6199">
        <w:rPr>
          <w:rFonts w:cstheme="minorHAnsi"/>
          <w:noProof/>
          <w:lang w:val="en-US"/>
        </w:rPr>
        <w:t xml:space="preserve">; </w:t>
      </w:r>
      <w:hyperlink w:anchor="_ENREF_4" w:tooltip="Djanibekov, 2012 #22" w:history="1">
        <w:r w:rsidR="007C49FB" w:rsidRPr="002F6199">
          <w:rPr>
            <w:rFonts w:cstheme="minorHAnsi"/>
            <w:noProof/>
            <w:lang w:val="en-US"/>
          </w:rPr>
          <w:t>Djanibekov</w:t>
        </w:r>
        <w:r w:rsidR="007C49FB" w:rsidRPr="002F6199">
          <w:rPr>
            <w:rFonts w:cstheme="minorHAnsi"/>
            <w:i/>
            <w:noProof/>
            <w:lang w:val="en-US"/>
          </w:rPr>
          <w:t xml:space="preserve"> et al.</w:t>
        </w:r>
        <w:r w:rsidR="007C49FB" w:rsidRPr="002F6199">
          <w:rPr>
            <w:rFonts w:cstheme="minorHAnsi"/>
            <w:noProof/>
            <w:lang w:val="en-US"/>
          </w:rPr>
          <w:t>, 2012</w:t>
        </w:r>
      </w:hyperlink>
      <w:r w:rsidRPr="002F6199">
        <w:rPr>
          <w:rFonts w:cstheme="minorHAnsi"/>
          <w:noProof/>
          <w:lang w:val="en-US"/>
        </w:rPr>
        <w:t>)</w:t>
      </w:r>
      <w:r w:rsidRPr="002F6199">
        <w:rPr>
          <w:rFonts w:cstheme="minorHAnsi"/>
        </w:rPr>
        <w:fldChar w:fldCharType="end"/>
      </w:r>
      <w:r w:rsidRPr="002F6199">
        <w:rPr>
          <w:rFonts w:cstheme="minorHAnsi"/>
          <w:lang w:val="en-US"/>
        </w:rPr>
        <w:t>.</w:t>
      </w:r>
    </w:p>
    <w:p w:rsidR="005F433F" w:rsidRPr="002F6199" w:rsidRDefault="005F433F" w:rsidP="002F6199">
      <w:pPr>
        <w:spacing w:line="360" w:lineRule="auto"/>
        <w:jc w:val="both"/>
        <w:rPr>
          <w:rFonts w:cstheme="minorHAnsi"/>
          <w:lang w:val="en-US"/>
        </w:rPr>
      </w:pPr>
      <w:r w:rsidRPr="002F6199">
        <w:rPr>
          <w:rFonts w:cstheme="minorHAnsi"/>
          <w:lang w:val="en-US"/>
        </w:rPr>
        <w:t xml:space="preserve">The tables below provide sensitivity of the model results to the varying levels of the risk aversion parameter. Wide range of values for the risk aversion tested and only 3 levels presented below. The selected risk aversion parameter indicates the value of the risk aversion found </w:t>
      </w:r>
      <w:r w:rsidR="00CD4463" w:rsidRPr="002F6199">
        <w:rPr>
          <w:rFonts w:cstheme="minorHAnsi"/>
          <w:lang w:val="en-US"/>
        </w:rPr>
        <w:t>as “</w:t>
      </w:r>
      <w:r w:rsidRPr="002F6199">
        <w:rPr>
          <w:rFonts w:cstheme="minorHAnsi"/>
          <w:lang w:val="en-US"/>
        </w:rPr>
        <w:t>optimal</w:t>
      </w:r>
      <w:r w:rsidR="00CD4463" w:rsidRPr="002F6199">
        <w:rPr>
          <w:rFonts w:cstheme="minorHAnsi"/>
          <w:lang w:val="en-US"/>
        </w:rPr>
        <w:t>”</w:t>
      </w:r>
      <w:r w:rsidRPr="002F6199">
        <w:rPr>
          <w:rFonts w:cstheme="minorHAnsi"/>
          <w:lang w:val="en-US"/>
        </w:rPr>
        <w:t xml:space="preserve"> to produce observed cropping pattern</w:t>
      </w:r>
      <w:r w:rsidR="00CD4463" w:rsidRPr="002F6199">
        <w:rPr>
          <w:rFonts w:cstheme="minorHAnsi"/>
          <w:lang w:val="en-US"/>
        </w:rPr>
        <w:t>s</w:t>
      </w:r>
      <w:r w:rsidRPr="002F6199">
        <w:rPr>
          <w:rFonts w:cstheme="minorHAnsi"/>
          <w:lang w:val="en-US"/>
        </w:rPr>
        <w:t xml:space="preserve">. </w:t>
      </w:r>
    </w:p>
    <w:p w:rsidR="008536A5" w:rsidRPr="002F6199" w:rsidRDefault="008536A5" w:rsidP="002F6199">
      <w:pPr>
        <w:spacing w:line="240" w:lineRule="auto"/>
        <w:rPr>
          <w:rFonts w:cstheme="minorHAnsi"/>
          <w:b/>
          <w:lang w:val="en-US"/>
        </w:rPr>
      </w:pPr>
      <w:r w:rsidRPr="002F6199">
        <w:rPr>
          <w:rFonts w:cstheme="minorHAnsi"/>
          <w:b/>
          <w:lang w:val="en-US"/>
        </w:rPr>
        <w:t xml:space="preserve">Table </w:t>
      </w:r>
      <w:r w:rsidR="00124B36" w:rsidRPr="002F6199">
        <w:rPr>
          <w:rFonts w:cstheme="minorHAnsi"/>
          <w:b/>
          <w:lang w:val="en-US"/>
        </w:rPr>
        <w:t>SM2</w:t>
      </w:r>
    </w:p>
    <w:p w:rsidR="00124B36" w:rsidRPr="002F6199" w:rsidRDefault="00124B36" w:rsidP="002F6199">
      <w:pPr>
        <w:spacing w:line="240" w:lineRule="auto"/>
        <w:rPr>
          <w:rFonts w:cstheme="minorHAnsi"/>
          <w:lang w:val="en-US"/>
        </w:rPr>
      </w:pPr>
      <w:r w:rsidRPr="002F6199">
        <w:rPr>
          <w:rFonts w:cstheme="minorHAnsi"/>
          <w:lang w:val="en-US"/>
        </w:rPr>
        <w:t xml:space="preserve">Risk aversion parameter range considered in the simulations </w:t>
      </w:r>
    </w:p>
    <w:tbl>
      <w:tblPr>
        <w:tblW w:w="9140" w:type="dxa"/>
        <w:tblInd w:w="55" w:type="dxa"/>
        <w:tblCellMar>
          <w:left w:w="70" w:type="dxa"/>
          <w:right w:w="70" w:type="dxa"/>
        </w:tblCellMar>
        <w:tblLook w:val="04A0" w:firstRow="1" w:lastRow="0" w:firstColumn="1" w:lastColumn="0" w:noHBand="0" w:noVBand="1"/>
      </w:tblPr>
      <w:tblGrid>
        <w:gridCol w:w="1530"/>
        <w:gridCol w:w="756"/>
        <w:gridCol w:w="756"/>
        <w:gridCol w:w="795"/>
        <w:gridCol w:w="756"/>
        <w:gridCol w:w="784"/>
        <w:gridCol w:w="756"/>
        <w:gridCol w:w="756"/>
        <w:gridCol w:w="756"/>
        <w:gridCol w:w="756"/>
        <w:gridCol w:w="756"/>
      </w:tblGrid>
      <w:tr w:rsidR="008F0163" w:rsidRPr="002F6199" w:rsidTr="008F0163">
        <w:trPr>
          <w:trHeight w:val="255"/>
        </w:trPr>
        <w:tc>
          <w:tcPr>
            <w:tcW w:w="1540" w:type="dxa"/>
            <w:tcBorders>
              <w:top w:val="single" w:sz="4" w:space="0" w:color="auto"/>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val="en-US" w:eastAsia="de-DE"/>
              </w:rPr>
            </w:pPr>
            <w:r w:rsidRPr="002F6199">
              <w:rPr>
                <w:rFonts w:ascii="Calibri" w:eastAsia="Times New Roman" w:hAnsi="Calibri" w:cs="Times New Roman"/>
                <w:color w:val="000000"/>
                <w:sz w:val="16"/>
                <w:szCs w:val="16"/>
                <w:lang w:val="en-US" w:eastAsia="de-DE"/>
              </w:rPr>
              <w:t> </w:t>
            </w:r>
          </w:p>
        </w:tc>
        <w:tc>
          <w:tcPr>
            <w:tcW w:w="2280" w:type="dxa"/>
            <w:gridSpan w:val="3"/>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Kazakhstan</w:t>
            </w:r>
          </w:p>
        </w:tc>
        <w:tc>
          <w:tcPr>
            <w:tcW w:w="1520" w:type="dxa"/>
            <w:gridSpan w:val="2"/>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Kyrgyzstan</w:t>
            </w:r>
          </w:p>
        </w:tc>
        <w:tc>
          <w:tcPr>
            <w:tcW w:w="2280" w:type="dxa"/>
            <w:gridSpan w:val="3"/>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Tajikistan</w:t>
            </w:r>
          </w:p>
        </w:tc>
        <w:tc>
          <w:tcPr>
            <w:tcW w:w="1520" w:type="dxa"/>
            <w:gridSpan w:val="2"/>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Uzbekistan</w:t>
            </w:r>
          </w:p>
        </w:tc>
      </w:tr>
      <w:tr w:rsidR="008F0163" w:rsidRPr="002F6199" w:rsidTr="008F0163">
        <w:trPr>
          <w:trHeight w:val="450"/>
        </w:trPr>
        <w:tc>
          <w:tcPr>
            <w:tcW w:w="154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 </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Subhumid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subhumid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Humid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r>
      <w:tr w:rsidR="008F0163" w:rsidRPr="002F6199" w:rsidTr="008F0163">
        <w:trPr>
          <w:trHeight w:val="255"/>
        </w:trPr>
        <w:tc>
          <w:tcPr>
            <w:tcW w:w="154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 xml:space="preserve">Lower risk aversion </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3,5E-05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0,00003</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3,5E-07</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0,00005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0,00005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0,00005</w:t>
            </w:r>
          </w:p>
        </w:tc>
      </w:tr>
      <w:tr w:rsidR="008F0163" w:rsidRPr="002F6199" w:rsidTr="008F0163">
        <w:trPr>
          <w:trHeight w:val="255"/>
        </w:trPr>
        <w:tc>
          <w:tcPr>
            <w:tcW w:w="154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Current level</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0,00007</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0,00006</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7E-07</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0,0002</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w:t>
            </w:r>
          </w:p>
        </w:tc>
      </w:tr>
      <w:tr w:rsidR="008F0163" w:rsidRPr="002F6199" w:rsidTr="008F0163">
        <w:trPr>
          <w:trHeight w:val="255"/>
        </w:trPr>
        <w:tc>
          <w:tcPr>
            <w:tcW w:w="154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Higher risk aversion</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8,9E-05</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1E-06</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0,00148</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0,0003</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0,00015</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0,00148</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0,00148</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0,00015</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0,00015</w:t>
            </w:r>
          </w:p>
        </w:tc>
      </w:tr>
    </w:tbl>
    <w:p w:rsidR="008F0163" w:rsidRPr="002F6199" w:rsidRDefault="008F0163" w:rsidP="002F6199">
      <w:pPr>
        <w:spacing w:line="240" w:lineRule="auto"/>
        <w:rPr>
          <w:rFonts w:cstheme="minorHAnsi"/>
          <w:lang w:val="en-US"/>
        </w:rPr>
      </w:pPr>
    </w:p>
    <w:p w:rsidR="008536A5" w:rsidRPr="002F6199" w:rsidRDefault="008536A5" w:rsidP="002F6199">
      <w:pPr>
        <w:spacing w:line="240" w:lineRule="auto"/>
        <w:rPr>
          <w:rFonts w:cstheme="minorHAnsi"/>
          <w:b/>
          <w:lang w:val="en-US"/>
        </w:rPr>
      </w:pPr>
      <w:r w:rsidRPr="002F6199">
        <w:rPr>
          <w:rFonts w:cstheme="minorHAnsi"/>
          <w:b/>
          <w:lang w:val="en-US"/>
        </w:rPr>
        <w:t>Table</w:t>
      </w:r>
      <w:r w:rsidR="00124B36" w:rsidRPr="002F6199">
        <w:rPr>
          <w:rFonts w:cstheme="minorHAnsi"/>
          <w:b/>
          <w:lang w:val="en-US"/>
        </w:rPr>
        <w:t xml:space="preserve"> SM3</w:t>
      </w:r>
    </w:p>
    <w:p w:rsidR="00124B36" w:rsidRPr="002F6199" w:rsidRDefault="00116C63" w:rsidP="002F6199">
      <w:pPr>
        <w:spacing w:line="240" w:lineRule="auto"/>
        <w:rPr>
          <w:rFonts w:cstheme="minorHAnsi"/>
          <w:lang w:val="en-US"/>
        </w:rPr>
      </w:pPr>
      <w:r w:rsidRPr="002F6199">
        <w:rPr>
          <w:rFonts w:cstheme="minorHAnsi"/>
          <w:lang w:val="en-US"/>
        </w:rPr>
        <w:t>Total cropped area under different risk aversion levels, ha</w:t>
      </w:r>
    </w:p>
    <w:tbl>
      <w:tblPr>
        <w:tblW w:w="8340" w:type="dxa"/>
        <w:tblInd w:w="55" w:type="dxa"/>
        <w:tblCellMar>
          <w:left w:w="70" w:type="dxa"/>
          <w:right w:w="70" w:type="dxa"/>
        </w:tblCellMar>
        <w:tblLook w:val="04A0" w:firstRow="1" w:lastRow="0" w:firstColumn="1" w:lastColumn="0" w:noHBand="0" w:noVBand="1"/>
      </w:tblPr>
      <w:tblGrid>
        <w:gridCol w:w="1540"/>
        <w:gridCol w:w="677"/>
        <w:gridCol w:w="711"/>
        <w:gridCol w:w="799"/>
        <w:gridCol w:w="700"/>
        <w:gridCol w:w="788"/>
        <w:gridCol w:w="678"/>
        <w:gridCol w:w="711"/>
        <w:gridCol w:w="679"/>
        <w:gridCol w:w="678"/>
        <w:gridCol w:w="711"/>
      </w:tblGrid>
      <w:tr w:rsidR="008F0163" w:rsidRPr="002F6199" w:rsidTr="008F0163">
        <w:trPr>
          <w:trHeight w:val="255"/>
        </w:trPr>
        <w:tc>
          <w:tcPr>
            <w:tcW w:w="1540" w:type="dxa"/>
            <w:tcBorders>
              <w:top w:val="single" w:sz="4" w:space="0" w:color="auto"/>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val="en-US" w:eastAsia="de-DE"/>
              </w:rPr>
            </w:pPr>
            <w:r w:rsidRPr="002F6199">
              <w:rPr>
                <w:rFonts w:ascii="Calibri" w:eastAsia="Times New Roman" w:hAnsi="Calibri" w:cs="Times New Roman"/>
                <w:color w:val="000000"/>
                <w:sz w:val="16"/>
                <w:szCs w:val="16"/>
                <w:lang w:val="en-US" w:eastAsia="de-DE"/>
              </w:rPr>
              <w:t> </w:t>
            </w:r>
          </w:p>
        </w:tc>
        <w:tc>
          <w:tcPr>
            <w:tcW w:w="2045" w:type="dxa"/>
            <w:gridSpan w:val="3"/>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Kazakhstan</w:t>
            </w:r>
          </w:p>
        </w:tc>
        <w:tc>
          <w:tcPr>
            <w:tcW w:w="1360" w:type="dxa"/>
            <w:gridSpan w:val="2"/>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Kyrgyzstan</w:t>
            </w:r>
          </w:p>
        </w:tc>
        <w:tc>
          <w:tcPr>
            <w:tcW w:w="2037" w:type="dxa"/>
            <w:gridSpan w:val="3"/>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Tajikistan</w:t>
            </w:r>
          </w:p>
        </w:tc>
        <w:tc>
          <w:tcPr>
            <w:tcW w:w="1358" w:type="dxa"/>
            <w:gridSpan w:val="2"/>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Uzbekistan</w:t>
            </w:r>
          </w:p>
        </w:tc>
      </w:tr>
      <w:tr w:rsidR="008F0163" w:rsidRPr="002F6199" w:rsidTr="008F0163">
        <w:trPr>
          <w:trHeight w:val="450"/>
        </w:trPr>
        <w:tc>
          <w:tcPr>
            <w:tcW w:w="154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 </w:t>
            </w:r>
          </w:p>
        </w:tc>
        <w:tc>
          <w:tcPr>
            <w:tcW w:w="677"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679"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689"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Subhumid</w:t>
            </w:r>
          </w:p>
        </w:tc>
        <w:tc>
          <w:tcPr>
            <w:tcW w:w="68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68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subhumid</w:t>
            </w:r>
          </w:p>
        </w:tc>
        <w:tc>
          <w:tcPr>
            <w:tcW w:w="678"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68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679"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Humid</w:t>
            </w:r>
          </w:p>
        </w:tc>
        <w:tc>
          <w:tcPr>
            <w:tcW w:w="678"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68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r>
      <w:tr w:rsidR="008F0163" w:rsidRPr="002F6199" w:rsidTr="008F0163">
        <w:trPr>
          <w:trHeight w:val="255"/>
        </w:trPr>
        <w:tc>
          <w:tcPr>
            <w:tcW w:w="154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 xml:space="preserve">Lower risk aversion </w:t>
            </w:r>
          </w:p>
        </w:tc>
        <w:tc>
          <w:tcPr>
            <w:tcW w:w="677"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28</w:t>
            </w:r>
          </w:p>
        </w:tc>
        <w:tc>
          <w:tcPr>
            <w:tcW w:w="679"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77</w:t>
            </w:r>
          </w:p>
        </w:tc>
        <w:tc>
          <w:tcPr>
            <w:tcW w:w="689"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773</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5,1</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5,1</w:t>
            </w:r>
          </w:p>
        </w:tc>
        <w:tc>
          <w:tcPr>
            <w:tcW w:w="678"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4,1</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4,6</w:t>
            </w:r>
          </w:p>
        </w:tc>
        <w:tc>
          <w:tcPr>
            <w:tcW w:w="679"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2,1</w:t>
            </w:r>
          </w:p>
        </w:tc>
        <w:tc>
          <w:tcPr>
            <w:tcW w:w="678"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27,1</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34,1</w:t>
            </w:r>
          </w:p>
        </w:tc>
      </w:tr>
      <w:tr w:rsidR="008F0163" w:rsidRPr="002F6199" w:rsidTr="008F0163">
        <w:trPr>
          <w:trHeight w:val="255"/>
        </w:trPr>
        <w:tc>
          <w:tcPr>
            <w:tcW w:w="154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Current level</w:t>
            </w:r>
          </w:p>
        </w:tc>
        <w:tc>
          <w:tcPr>
            <w:tcW w:w="677"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28</w:t>
            </w:r>
          </w:p>
        </w:tc>
        <w:tc>
          <w:tcPr>
            <w:tcW w:w="679"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77</w:t>
            </w:r>
          </w:p>
        </w:tc>
        <w:tc>
          <w:tcPr>
            <w:tcW w:w="689"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773</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5,1</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5,1</w:t>
            </w:r>
          </w:p>
        </w:tc>
        <w:tc>
          <w:tcPr>
            <w:tcW w:w="678"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4,1</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4,6</w:t>
            </w:r>
          </w:p>
        </w:tc>
        <w:tc>
          <w:tcPr>
            <w:tcW w:w="679"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2,0923</w:t>
            </w:r>
          </w:p>
        </w:tc>
        <w:tc>
          <w:tcPr>
            <w:tcW w:w="678"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27,1</w:t>
            </w:r>
          </w:p>
        </w:tc>
        <w:tc>
          <w:tcPr>
            <w:tcW w:w="68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34,1</w:t>
            </w:r>
          </w:p>
        </w:tc>
      </w:tr>
      <w:tr w:rsidR="008F0163" w:rsidRPr="002F6199" w:rsidTr="008F0163">
        <w:trPr>
          <w:trHeight w:val="255"/>
        </w:trPr>
        <w:tc>
          <w:tcPr>
            <w:tcW w:w="154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Higher risk aversion</w:t>
            </w:r>
          </w:p>
        </w:tc>
        <w:tc>
          <w:tcPr>
            <w:tcW w:w="677"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28</w:t>
            </w:r>
          </w:p>
        </w:tc>
        <w:tc>
          <w:tcPr>
            <w:tcW w:w="679"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77</w:t>
            </w:r>
          </w:p>
        </w:tc>
        <w:tc>
          <w:tcPr>
            <w:tcW w:w="689"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773</w:t>
            </w:r>
          </w:p>
        </w:tc>
        <w:tc>
          <w:tcPr>
            <w:tcW w:w="68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5,1</w:t>
            </w:r>
          </w:p>
        </w:tc>
        <w:tc>
          <w:tcPr>
            <w:tcW w:w="68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5,1</w:t>
            </w:r>
          </w:p>
        </w:tc>
        <w:tc>
          <w:tcPr>
            <w:tcW w:w="678"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4,1</w:t>
            </w:r>
          </w:p>
        </w:tc>
        <w:tc>
          <w:tcPr>
            <w:tcW w:w="68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4,6</w:t>
            </w:r>
          </w:p>
        </w:tc>
        <w:tc>
          <w:tcPr>
            <w:tcW w:w="679"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1,9863</w:t>
            </w:r>
          </w:p>
        </w:tc>
        <w:tc>
          <w:tcPr>
            <w:tcW w:w="678"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27,1</w:t>
            </w:r>
          </w:p>
        </w:tc>
        <w:tc>
          <w:tcPr>
            <w:tcW w:w="68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34,1</w:t>
            </w:r>
          </w:p>
        </w:tc>
      </w:tr>
    </w:tbl>
    <w:p w:rsidR="008536A5" w:rsidRPr="002F6199" w:rsidRDefault="00124B36" w:rsidP="002F6199">
      <w:pPr>
        <w:spacing w:line="240" w:lineRule="auto"/>
        <w:rPr>
          <w:rFonts w:cstheme="minorHAnsi"/>
          <w:i/>
          <w:lang w:val="en-US"/>
        </w:rPr>
      </w:pPr>
      <w:r w:rsidRPr="002F6199">
        <w:rPr>
          <w:rFonts w:cstheme="minorHAnsi"/>
          <w:i/>
          <w:lang w:val="en-US"/>
        </w:rPr>
        <w:t>Note: see table SM3 for the values of risk aversion parameter</w:t>
      </w:r>
    </w:p>
    <w:p w:rsidR="00116C63" w:rsidRPr="002F6199" w:rsidRDefault="008536A5" w:rsidP="002F6199">
      <w:pPr>
        <w:spacing w:line="240" w:lineRule="auto"/>
        <w:rPr>
          <w:rFonts w:cstheme="minorHAnsi"/>
          <w:b/>
          <w:lang w:val="en-US"/>
        </w:rPr>
      </w:pPr>
      <w:r w:rsidRPr="002F6199">
        <w:rPr>
          <w:rFonts w:cstheme="minorHAnsi"/>
          <w:b/>
          <w:lang w:val="en-US"/>
        </w:rPr>
        <w:t>Table</w:t>
      </w:r>
      <w:r w:rsidR="00116C63" w:rsidRPr="002F6199">
        <w:rPr>
          <w:rFonts w:cstheme="minorHAnsi"/>
          <w:b/>
          <w:lang w:val="en-US"/>
        </w:rPr>
        <w:t xml:space="preserve"> SM4</w:t>
      </w:r>
    </w:p>
    <w:p w:rsidR="008536A5" w:rsidRPr="002F6199" w:rsidRDefault="00116C63" w:rsidP="002F6199">
      <w:pPr>
        <w:spacing w:line="240" w:lineRule="auto"/>
        <w:rPr>
          <w:rFonts w:cstheme="minorHAnsi"/>
          <w:lang w:val="en-US"/>
        </w:rPr>
      </w:pPr>
      <w:r w:rsidRPr="002F6199">
        <w:rPr>
          <w:rFonts w:cstheme="minorHAnsi"/>
          <w:lang w:val="en-US"/>
        </w:rPr>
        <w:t>CE under different risk aversion parameters, thousand USD per farm</w:t>
      </w:r>
    </w:p>
    <w:tbl>
      <w:tblPr>
        <w:tblW w:w="9240" w:type="dxa"/>
        <w:tblInd w:w="55" w:type="dxa"/>
        <w:tblCellMar>
          <w:left w:w="70" w:type="dxa"/>
          <w:right w:w="70" w:type="dxa"/>
        </w:tblCellMar>
        <w:tblLook w:val="04A0" w:firstRow="1" w:lastRow="0" w:firstColumn="1" w:lastColumn="0" w:noHBand="0" w:noVBand="1"/>
      </w:tblPr>
      <w:tblGrid>
        <w:gridCol w:w="1640"/>
        <w:gridCol w:w="760"/>
        <w:gridCol w:w="760"/>
        <w:gridCol w:w="799"/>
        <w:gridCol w:w="760"/>
        <w:gridCol w:w="788"/>
        <w:gridCol w:w="760"/>
        <w:gridCol w:w="760"/>
        <w:gridCol w:w="760"/>
        <w:gridCol w:w="760"/>
        <w:gridCol w:w="760"/>
      </w:tblGrid>
      <w:tr w:rsidR="008F0163" w:rsidRPr="002F6199" w:rsidTr="008F0163">
        <w:trPr>
          <w:trHeight w:val="255"/>
        </w:trPr>
        <w:tc>
          <w:tcPr>
            <w:tcW w:w="1640" w:type="dxa"/>
            <w:tcBorders>
              <w:top w:val="single" w:sz="4" w:space="0" w:color="auto"/>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val="en-US" w:eastAsia="de-DE"/>
              </w:rPr>
            </w:pPr>
            <w:r w:rsidRPr="002F6199">
              <w:rPr>
                <w:rFonts w:ascii="Calibri" w:eastAsia="Times New Roman" w:hAnsi="Calibri" w:cs="Times New Roman"/>
                <w:color w:val="000000"/>
                <w:sz w:val="16"/>
                <w:szCs w:val="16"/>
                <w:lang w:val="en-US" w:eastAsia="de-DE"/>
              </w:rPr>
              <w:lastRenderedPageBreak/>
              <w:t> </w:t>
            </w:r>
          </w:p>
        </w:tc>
        <w:tc>
          <w:tcPr>
            <w:tcW w:w="2280" w:type="dxa"/>
            <w:gridSpan w:val="3"/>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Kazakhstan</w:t>
            </w:r>
          </w:p>
        </w:tc>
        <w:tc>
          <w:tcPr>
            <w:tcW w:w="1520" w:type="dxa"/>
            <w:gridSpan w:val="2"/>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Kyrgyzstan</w:t>
            </w:r>
          </w:p>
        </w:tc>
        <w:tc>
          <w:tcPr>
            <w:tcW w:w="2280" w:type="dxa"/>
            <w:gridSpan w:val="3"/>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Tajikistan</w:t>
            </w:r>
          </w:p>
        </w:tc>
        <w:tc>
          <w:tcPr>
            <w:tcW w:w="1520" w:type="dxa"/>
            <w:gridSpan w:val="2"/>
            <w:tcBorders>
              <w:top w:val="single" w:sz="4" w:space="0" w:color="auto"/>
              <w:left w:val="nil"/>
              <w:bottom w:val="nil"/>
              <w:right w:val="nil"/>
            </w:tcBorders>
            <w:shd w:val="clear" w:color="auto" w:fill="auto"/>
            <w:vAlign w:val="center"/>
            <w:hideMark/>
          </w:tcPr>
          <w:p w:rsidR="008F0163" w:rsidRPr="002F6199" w:rsidRDefault="008F0163" w:rsidP="002F6199">
            <w:pPr>
              <w:spacing w:after="0" w:line="240" w:lineRule="auto"/>
              <w:jc w:val="center"/>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Uzbekistan</w:t>
            </w:r>
          </w:p>
        </w:tc>
      </w:tr>
      <w:tr w:rsidR="008F0163" w:rsidRPr="002F6199" w:rsidTr="008F0163">
        <w:trPr>
          <w:trHeight w:val="450"/>
        </w:trPr>
        <w:tc>
          <w:tcPr>
            <w:tcW w:w="164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 </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Subhumid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subhumid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Humid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Arid</w:t>
            </w:r>
          </w:p>
        </w:tc>
        <w:tc>
          <w:tcPr>
            <w:tcW w:w="760" w:type="dxa"/>
            <w:tcBorders>
              <w:top w:val="nil"/>
              <w:left w:val="nil"/>
              <w:bottom w:val="single" w:sz="4" w:space="0" w:color="auto"/>
              <w:right w:val="nil"/>
            </w:tcBorders>
            <w:shd w:val="clear" w:color="auto" w:fill="auto"/>
            <w:vAlign w:val="center"/>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Semiarid</w:t>
            </w:r>
          </w:p>
        </w:tc>
      </w:tr>
      <w:tr w:rsidR="008F0163" w:rsidRPr="002F6199" w:rsidTr="008F0163">
        <w:trPr>
          <w:trHeight w:val="255"/>
        </w:trPr>
        <w:tc>
          <w:tcPr>
            <w:tcW w:w="164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 xml:space="preserve">Lower risk aversion </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11,50</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52,63</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101,12</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3,06</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3,71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2,29</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0,65</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0,93</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12,77</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25,03</w:t>
            </w:r>
          </w:p>
        </w:tc>
      </w:tr>
      <w:tr w:rsidR="008F0163" w:rsidRPr="002F6199" w:rsidTr="008F0163">
        <w:trPr>
          <w:trHeight w:val="255"/>
        </w:trPr>
        <w:tc>
          <w:tcPr>
            <w:tcW w:w="164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Current level</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10,23</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42,63</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99,87</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2,61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3,38</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2,19</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0,51</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0,78</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11,33</w:t>
            </w:r>
          </w:p>
        </w:tc>
        <w:tc>
          <w:tcPr>
            <w:tcW w:w="760" w:type="dxa"/>
            <w:tcBorders>
              <w:top w:val="nil"/>
              <w:left w:val="nil"/>
              <w:bottom w:val="nil"/>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16,13</w:t>
            </w:r>
          </w:p>
        </w:tc>
      </w:tr>
      <w:tr w:rsidR="008F0163" w:rsidRPr="002F6199" w:rsidTr="008F0163">
        <w:trPr>
          <w:trHeight w:val="255"/>
        </w:trPr>
        <w:tc>
          <w:tcPr>
            <w:tcW w:w="164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Higher risk aversion</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9,08</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36,85</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98,68</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2,31</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3,07</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2,10</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0,41</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0,66</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10,05</w:t>
            </w:r>
          </w:p>
        </w:tc>
        <w:tc>
          <w:tcPr>
            <w:tcW w:w="760" w:type="dxa"/>
            <w:tcBorders>
              <w:top w:val="nil"/>
              <w:left w:val="nil"/>
              <w:bottom w:val="single" w:sz="4" w:space="0" w:color="auto"/>
              <w:right w:val="nil"/>
            </w:tcBorders>
            <w:shd w:val="clear" w:color="auto" w:fill="auto"/>
            <w:noWrap/>
            <w:vAlign w:val="bottom"/>
            <w:hideMark/>
          </w:tcPr>
          <w:p w:rsidR="008F0163" w:rsidRPr="002F6199" w:rsidRDefault="008F0163" w:rsidP="002F6199">
            <w:pPr>
              <w:spacing w:after="0" w:line="240" w:lineRule="auto"/>
              <w:jc w:val="right"/>
              <w:rPr>
                <w:rFonts w:ascii="Calibri" w:eastAsia="Times New Roman" w:hAnsi="Calibri" w:cs="Times New Roman"/>
                <w:color w:val="000000"/>
                <w:sz w:val="16"/>
                <w:szCs w:val="16"/>
                <w:lang w:eastAsia="de-DE"/>
              </w:rPr>
            </w:pPr>
            <w:r w:rsidRPr="002F6199">
              <w:rPr>
                <w:rFonts w:ascii="Calibri" w:eastAsia="Times New Roman" w:hAnsi="Calibri" w:cs="Times New Roman"/>
                <w:color w:val="000000"/>
                <w:sz w:val="16"/>
                <w:szCs w:val="16"/>
                <w:lang w:eastAsia="de-DE"/>
              </w:rPr>
              <w:t>12,21</w:t>
            </w:r>
          </w:p>
        </w:tc>
      </w:tr>
    </w:tbl>
    <w:p w:rsidR="00116C63" w:rsidRPr="002F6199" w:rsidRDefault="00116C63" w:rsidP="002F6199">
      <w:pPr>
        <w:spacing w:line="240" w:lineRule="auto"/>
        <w:rPr>
          <w:rFonts w:cstheme="minorHAnsi"/>
          <w:i/>
          <w:lang w:val="en-US"/>
        </w:rPr>
      </w:pPr>
      <w:r w:rsidRPr="002F6199">
        <w:rPr>
          <w:rFonts w:cstheme="minorHAnsi"/>
          <w:i/>
          <w:lang w:val="en-US"/>
        </w:rPr>
        <w:t>Note: see table SM3 for the values of risk aversion parameter</w:t>
      </w:r>
    </w:p>
    <w:p w:rsidR="004C05D6" w:rsidRPr="002F6199" w:rsidRDefault="004C05D6" w:rsidP="002F6199">
      <w:pPr>
        <w:spacing w:line="240" w:lineRule="auto"/>
        <w:rPr>
          <w:rFonts w:cstheme="minorHAnsi"/>
          <w:lang w:val="en-US"/>
        </w:rPr>
      </w:pPr>
      <w:r w:rsidRPr="002F6199">
        <w:rPr>
          <w:rFonts w:cstheme="minorHAnsi"/>
          <w:lang w:val="en-US"/>
        </w:rPr>
        <w:t>The simulation results show that the selected risk aversion level</w:t>
      </w:r>
      <w:r w:rsidR="008E7FE4" w:rsidRPr="002F6199">
        <w:rPr>
          <w:rFonts w:cstheme="minorHAnsi"/>
          <w:lang w:val="en-US"/>
        </w:rPr>
        <w:t>s</w:t>
      </w:r>
      <w:r w:rsidRPr="002F6199">
        <w:rPr>
          <w:rFonts w:cstheme="minorHAnsi"/>
          <w:lang w:val="en-US"/>
        </w:rPr>
        <w:t xml:space="preserve"> could be considered as “average” levels in all considered farming systems. </w:t>
      </w:r>
    </w:p>
    <w:p w:rsidR="007C49FB" w:rsidRPr="002F6199" w:rsidRDefault="007C49FB" w:rsidP="002F6199">
      <w:pPr>
        <w:pStyle w:val="berschrift1"/>
        <w:numPr>
          <w:ilvl w:val="0"/>
          <w:numId w:val="3"/>
        </w:numPr>
        <w:rPr>
          <w:rFonts w:asciiTheme="minorHAnsi" w:hAnsiTheme="minorHAnsi"/>
          <w:szCs w:val="22"/>
          <w:lang w:val="en-US"/>
        </w:rPr>
      </w:pPr>
      <w:r w:rsidRPr="002F6199">
        <w:rPr>
          <w:rFonts w:asciiTheme="minorHAnsi" w:hAnsiTheme="minorHAnsi"/>
          <w:szCs w:val="22"/>
          <w:lang w:val="en-US"/>
        </w:rPr>
        <w:t xml:space="preserve">Output and </w:t>
      </w:r>
      <w:r w:rsidR="003005D0" w:rsidRPr="002F6199">
        <w:rPr>
          <w:rFonts w:asciiTheme="minorHAnsi" w:hAnsiTheme="minorHAnsi"/>
          <w:szCs w:val="22"/>
          <w:lang w:val="en-US"/>
        </w:rPr>
        <w:t>i</w:t>
      </w:r>
      <w:r w:rsidRPr="002F6199">
        <w:rPr>
          <w:rFonts w:asciiTheme="minorHAnsi" w:hAnsiTheme="minorHAnsi"/>
          <w:szCs w:val="22"/>
          <w:lang w:val="en-US"/>
        </w:rPr>
        <w:t>nput costs differences: market liberation scenario</w:t>
      </w:r>
      <w:r w:rsidR="0038797F" w:rsidRPr="002F6199">
        <w:rPr>
          <w:rFonts w:asciiTheme="minorHAnsi" w:hAnsiTheme="minorHAnsi"/>
          <w:szCs w:val="22"/>
          <w:lang w:val="en-US"/>
        </w:rPr>
        <w:t xml:space="preserve"> </w:t>
      </w:r>
    </w:p>
    <w:p w:rsidR="007C49FB" w:rsidRPr="002F6199" w:rsidRDefault="007C49FB" w:rsidP="002F6199">
      <w:pPr>
        <w:autoSpaceDE w:val="0"/>
        <w:autoSpaceDN w:val="0"/>
        <w:adjustRightInd w:val="0"/>
        <w:spacing w:line="360" w:lineRule="auto"/>
        <w:jc w:val="both"/>
        <w:rPr>
          <w:rFonts w:cstheme="minorHAnsi"/>
          <w:lang w:val="en-US"/>
        </w:rPr>
      </w:pPr>
      <w:r w:rsidRPr="002F6199">
        <w:rPr>
          <w:rFonts w:cstheme="minorHAnsi"/>
          <w:lang w:val="en-US"/>
        </w:rPr>
        <w:t xml:space="preserve">CIS countries have established several regional cooperation organizations in order to develop economic cooperation between these states. There is a very long list of regional organizations and several ones are expected to be established in the future </w:t>
      </w:r>
      <w:r w:rsidRPr="002F6199">
        <w:rPr>
          <w:rFonts w:cstheme="minorHAnsi"/>
          <w:lang w:val="en-US"/>
        </w:rPr>
        <w:fldChar w:fldCharType="begin">
          <w:fldData xml:space="preserve">PEVuZE5vdGU+PENpdGU+PEF1dGhvcj5BREI8L0F1dGhvcj48WWVhcj4yMDA2PC9ZZWFyPjxSZWNO
dW0+NjY8L1JlY051bT48RGlzcGxheVRleHQ+KFBvbWZyZXQsIDIwMDU7IFVORFAsIDIwMDU7IEFE
QiwgMjAwNik8L0Rpc3BsYXlUZXh0PjxyZWNvcmQ+PHJlYy1udW1iZXI+NjY8L3JlYy1udW1iZXI+
PGZvcmVpZ24ta2V5cz48a2V5IGFwcD0iRU4iIGRiLWlkPSIwZXJ4dnJ6c2p2NXN6cWVmYWVzdjA5
ZTRhd3hzMnQ1c2F3OTAiPjY2PC9rZXk+PC9mb3JlaWduLWtleXM+PHJlZi10eXBlIG5hbWU9IlJl
cG9ydCI+Mjc8L3JlZi10eXBlPjxjb250cmlidXRvcnM+PGF1dGhvcnM+PGF1dGhvcj5BREI8L2F1
dGhvcj48L2F1dGhvcnM+PC9jb250cmlidXRvcnM+PHRpdGxlcz48dGl0bGU+Q2VudHJhbCBBc2lh
LiBJbmNyZWFzaW5nIEdhaW5zIGZyb20gVHJhZGUgVGhyb3VnaCBSZWdpb25hbCBDb29wZXJhdGlv
biBpbiBUcmFkZSBQb2xpY3ksIFRyYW5zcG9ydCwgYW5kIEN1c3RvbXMgVHJhbnNpdDwvdGl0bGU+
PC90aXRsZXM+PGRhdGVzPjx5ZWFyPjIwMDY8L3llYXI+PC9kYXRlcz48cHViLWxvY2F0aW9uPlBo
aWxpcHBpbmVzPC9wdWItbG9jYXRpb24+PHB1Ymxpc2hlcj5Bc2lhbiBEZXZlbG9wbWVudCBCYW5r
PC9wdWJsaXNoZXI+PHVybHM+PC91cmxzPjwvcmVjb3JkPjwvQ2l0ZT48Q2l0ZT48QXV0aG9yPlBv
bWZyZXQ8L0F1dGhvcj48WWVhcj4yMDA1PC9ZZWFyPjxSZWNOdW0+MTI8L1JlY051bT48cmVjb3Jk
PjxyZWMtbnVtYmVyPjEyPC9yZWMtbnVtYmVyPjxmb3JlaWduLWtleXM+PGtleSBhcHA9IkVOIiBk
Yi1pZD0iMGVyeHZyenNqdjVzenFlZmFlc3YwOWU0YXd4czJ0NXNhdzkwIj4xMjwva2V5PjwvZm9y
ZWlnbi1rZXlzPjxyZWYtdHlwZSBuYW1lPSJKb3VybmFsIEFydGljbGUiPjE3PC9yZWYtdHlwZT48
Y29udHJpYnV0b3JzPjxhdXRob3JzPjxhdXRob3I+UG9tZnJldCwgUmljaGFyZDwvYXV0aG9yPjwv
YXV0aG9ycz48L2NvbnRyaWJ1dG9ycz48dGl0bGVzPjx0aXRsZT5UcmFkZSBwb2xpY2llcyBpbiBD
ZW50cmFsIEFzaWEgYWZ0ZXIgRVUgZW5sYXJnZW1lbnQgYW5kIGJlZm9yZSBSdXNzaWFuIFdUTyBh
Y2Nlc3Npb246IFJlZ2lvbmFsaXNtIGFuZCBpbnRlZ3JhdGlvbiBpbnRvIHRoZSB3b3JsZCBlY29u
b215PC90aXRsZT48c2Vjb25kYXJ5LXRpdGxlPkVjb25vbWljIFN5c3RlbXM8L3NlY29uZGFyeS10
aXRsZT48L3RpdGxlcz48cGVyaW9kaWNhbD48ZnVsbC10aXRsZT5FY29ub21pYyBTeXN0ZW1zPC9m
dWxsLXRpdGxlPjwvcGVyaW9kaWNhbD48cGFnZXM+MzItNTg8L3BhZ2VzPjx2b2x1bWU+Mjk8L3Zv
bHVtZT48bnVtYmVyPjE8L251bWJlcj48a2V5d29yZHM+PGtleXdvcmQ+UmVnaW9uYWxpc208L2tl
eXdvcmQ+PGtleXdvcmQ+V1RPPC9rZXl3b3JkPjxrZXl3b3JkPkNlbnRyYWwgQXNpYTwva2V5d29y
ZD48L2tleXdvcmRzPjxkYXRlcz48eWVhcj4yMDA1PC95ZWFyPjxwdWItZGF0ZXM+PGRhdGU+My8v
PC9kYXRlPjwvcHViLWRhdGVzPjwvZGF0ZXM+PGlzYm4+MDkzOS0zNjI1PC9pc2JuPjx1cmxzPjxy
ZWxhdGVkLXVybHM+PHVybD5odHRwOi8vd3d3LnNjaWVuY2VkaXJlY3QuY29tL3NjaWVuY2UvYXJ0
aWNsZS9waWkvUzA5MzkzNjI1MDUwMDAxNjY8L3VybD48L3JlbGF0ZWQtdXJscz48L3VybHM+PGVs
ZWN0cm9uaWMtcmVzb3VyY2UtbnVtPmh0dHA6Ly9keC5kb2kub3JnLzEwLjEwMTYvai5lY29zeXMu
MjAwNS4wMS4wMDI8L2VsZWN0cm9uaWMtcmVzb3VyY2UtbnVtPjwvcmVjb3JkPjwvQ2l0ZT48Q2l0
ZT48QXV0aG9yPlVORFA8L0F1dGhvcj48WWVhcj4yMDA1PC9ZZWFyPjxSZWNOdW0+ODM8L1JlY051
bT48cmVjb3JkPjxyZWMtbnVtYmVyPjgzPC9yZWMtbnVtYmVyPjxmb3JlaWduLWtleXM+PGtleSBh
cHA9IkVOIiBkYi1pZD0iMGVyeHZyenNqdjVzenFlZmFlc3YwOWU0YXd4czJ0NXNhdzkwIj44Mzwv
a2V5PjwvZm9yZWlnbi1rZXlzPjxyZWYtdHlwZSBuYW1lPSJSZXBvcnQiPjI3PC9yZWYtdHlwZT48
Y29udHJpYnV0b3JzPjxhdXRob3JzPjxhdXRob3I+VU5EUDwvYXV0aG9yPjwvYXV0aG9ycz48L2Nv
bnRyaWJ1dG9ycz48dGl0bGVzPjx0aXRsZT5DZW50cmFsIEFzaWEgaHVtYW4gZGV2ZWxvcG1lbnQg
cmVwb3J0LiBCcmluZ2luZyBkb3duIGJhcnJpZXJzOiBSZWdpb25hbCBjb29wZXJhdGlvbiBmb3Ig
aHVtYW4gZGV2ZWxvcG1lbnQgYW5kIGh1bWFuIHNlY3VyaXR5PC90aXRsZT48L3RpdGxlcz48ZGF0
ZXM+PHllYXI+MjAwNTwveWVhcj48L2RhdGVzPjxwdWItbG9jYXRpb24+QnJhdGlzbGF2YSwgU2xv
dmFrIFJlcHVibGljPC9wdWItbG9jYXRpb24+PHB1Ymxpc2hlcj5UaGUgVU5EUCBSZWdpb25hbCBC
dXJlYXUgZm9yIEV1cm9wZSBhbmQgdGhlIENvbW1vbndlYWx0aCBvZiBJbmRlcGVuZGVudCBTdGF0
ZXM8L3B1Ymxpc2hlcj48dXJscz48L3VybHM+PC9yZWNvcmQ+PC9DaXRlPjwvRW5kTm90ZT4A
</w:fldData>
        </w:fldChar>
      </w:r>
      <w:r w:rsidRPr="002F6199">
        <w:rPr>
          <w:rFonts w:cstheme="minorHAnsi"/>
          <w:lang w:val="en-US"/>
        </w:rPr>
        <w:instrText xml:space="preserve"> ADDIN EN.CITE </w:instrText>
      </w:r>
      <w:r w:rsidRPr="002F6199">
        <w:rPr>
          <w:rFonts w:cstheme="minorHAnsi"/>
          <w:lang w:val="en-US"/>
        </w:rPr>
        <w:fldChar w:fldCharType="begin">
          <w:fldData xml:space="preserve">PEVuZE5vdGU+PENpdGU+PEF1dGhvcj5BREI8L0F1dGhvcj48WWVhcj4yMDA2PC9ZZWFyPjxSZWNO
dW0+NjY8L1JlY051bT48RGlzcGxheVRleHQ+KFBvbWZyZXQsIDIwMDU7IFVORFAsIDIwMDU7IEFE
QiwgMjAwNik8L0Rpc3BsYXlUZXh0PjxyZWNvcmQ+PHJlYy1udW1iZXI+NjY8L3JlYy1udW1iZXI+
PGZvcmVpZ24ta2V5cz48a2V5IGFwcD0iRU4iIGRiLWlkPSIwZXJ4dnJ6c2p2NXN6cWVmYWVzdjA5
ZTRhd3hzMnQ1c2F3OTAiPjY2PC9rZXk+PC9mb3JlaWduLWtleXM+PHJlZi10eXBlIG5hbWU9IlJl
cG9ydCI+Mjc8L3JlZi10eXBlPjxjb250cmlidXRvcnM+PGF1dGhvcnM+PGF1dGhvcj5BREI8L2F1
dGhvcj48L2F1dGhvcnM+PC9jb250cmlidXRvcnM+PHRpdGxlcz48dGl0bGU+Q2VudHJhbCBBc2lh
LiBJbmNyZWFzaW5nIEdhaW5zIGZyb20gVHJhZGUgVGhyb3VnaCBSZWdpb25hbCBDb29wZXJhdGlv
biBpbiBUcmFkZSBQb2xpY3ksIFRyYW5zcG9ydCwgYW5kIEN1c3RvbXMgVHJhbnNpdDwvdGl0bGU+
PC90aXRsZXM+PGRhdGVzPjx5ZWFyPjIwMDY8L3llYXI+PC9kYXRlcz48cHViLWxvY2F0aW9uPlBo
aWxpcHBpbmVzPC9wdWItbG9jYXRpb24+PHB1Ymxpc2hlcj5Bc2lhbiBEZXZlbG9wbWVudCBCYW5r
PC9wdWJsaXNoZXI+PHVybHM+PC91cmxzPjwvcmVjb3JkPjwvQ2l0ZT48Q2l0ZT48QXV0aG9yPlBv
bWZyZXQ8L0F1dGhvcj48WWVhcj4yMDA1PC9ZZWFyPjxSZWNOdW0+MTI8L1JlY051bT48cmVjb3Jk
PjxyZWMtbnVtYmVyPjEyPC9yZWMtbnVtYmVyPjxmb3JlaWduLWtleXM+PGtleSBhcHA9IkVOIiBk
Yi1pZD0iMGVyeHZyenNqdjVzenFlZmFlc3YwOWU0YXd4czJ0NXNhdzkwIj4xMjwva2V5PjwvZm9y
ZWlnbi1rZXlzPjxyZWYtdHlwZSBuYW1lPSJKb3VybmFsIEFydGljbGUiPjE3PC9yZWYtdHlwZT48
Y29udHJpYnV0b3JzPjxhdXRob3JzPjxhdXRob3I+UG9tZnJldCwgUmljaGFyZDwvYXV0aG9yPjwv
YXV0aG9ycz48L2NvbnRyaWJ1dG9ycz48dGl0bGVzPjx0aXRsZT5UcmFkZSBwb2xpY2llcyBpbiBD
ZW50cmFsIEFzaWEgYWZ0ZXIgRVUgZW5sYXJnZW1lbnQgYW5kIGJlZm9yZSBSdXNzaWFuIFdUTyBh
Y2Nlc3Npb246IFJlZ2lvbmFsaXNtIGFuZCBpbnRlZ3JhdGlvbiBpbnRvIHRoZSB3b3JsZCBlY29u
b215PC90aXRsZT48c2Vjb25kYXJ5LXRpdGxlPkVjb25vbWljIFN5c3RlbXM8L3NlY29uZGFyeS10
aXRsZT48L3RpdGxlcz48cGVyaW9kaWNhbD48ZnVsbC10aXRsZT5FY29ub21pYyBTeXN0ZW1zPC9m
dWxsLXRpdGxlPjwvcGVyaW9kaWNhbD48cGFnZXM+MzItNTg8L3BhZ2VzPjx2b2x1bWU+Mjk8L3Zv
bHVtZT48bnVtYmVyPjE8L251bWJlcj48a2V5d29yZHM+PGtleXdvcmQ+UmVnaW9uYWxpc208L2tl
eXdvcmQ+PGtleXdvcmQ+V1RPPC9rZXl3b3JkPjxrZXl3b3JkPkNlbnRyYWwgQXNpYTwva2V5d29y
ZD48L2tleXdvcmRzPjxkYXRlcz48eWVhcj4yMDA1PC95ZWFyPjxwdWItZGF0ZXM+PGRhdGU+My8v
PC9kYXRlPjwvcHViLWRhdGVzPjwvZGF0ZXM+PGlzYm4+MDkzOS0zNjI1PC9pc2JuPjx1cmxzPjxy
ZWxhdGVkLXVybHM+PHVybD5odHRwOi8vd3d3LnNjaWVuY2VkaXJlY3QuY29tL3NjaWVuY2UvYXJ0
aWNsZS9waWkvUzA5MzkzNjI1MDUwMDAxNjY8L3VybD48L3JlbGF0ZWQtdXJscz48L3VybHM+PGVs
ZWN0cm9uaWMtcmVzb3VyY2UtbnVtPmh0dHA6Ly9keC5kb2kub3JnLzEwLjEwMTYvai5lY29zeXMu
MjAwNS4wMS4wMDI8L2VsZWN0cm9uaWMtcmVzb3VyY2UtbnVtPjwvcmVjb3JkPjwvQ2l0ZT48Q2l0
ZT48QXV0aG9yPlVORFA8L0F1dGhvcj48WWVhcj4yMDA1PC9ZZWFyPjxSZWNOdW0+ODM8L1JlY051
bT48cmVjb3JkPjxyZWMtbnVtYmVyPjgzPC9yZWMtbnVtYmVyPjxmb3JlaWduLWtleXM+PGtleSBh
cHA9IkVOIiBkYi1pZD0iMGVyeHZyenNqdjVzenFlZmFlc3YwOWU0YXd4czJ0NXNhdzkwIj44Mzwv
a2V5PjwvZm9yZWlnbi1rZXlzPjxyZWYtdHlwZSBuYW1lPSJSZXBvcnQiPjI3PC9yZWYtdHlwZT48
Y29udHJpYnV0b3JzPjxhdXRob3JzPjxhdXRob3I+VU5EUDwvYXV0aG9yPjwvYXV0aG9ycz48L2Nv
bnRyaWJ1dG9ycz48dGl0bGVzPjx0aXRsZT5DZW50cmFsIEFzaWEgaHVtYW4gZGV2ZWxvcG1lbnQg
cmVwb3J0LiBCcmluZ2luZyBkb3duIGJhcnJpZXJzOiBSZWdpb25hbCBjb29wZXJhdGlvbiBmb3Ig
aHVtYW4gZGV2ZWxvcG1lbnQgYW5kIGh1bWFuIHNlY3VyaXR5PC90aXRsZT48L3RpdGxlcz48ZGF0
ZXM+PHllYXI+MjAwNTwveWVhcj48L2RhdGVzPjxwdWItbG9jYXRpb24+QnJhdGlzbGF2YSwgU2xv
dmFrIFJlcHVibGljPC9wdWItbG9jYXRpb24+PHB1Ymxpc2hlcj5UaGUgVU5EUCBSZWdpb25hbCBC
dXJlYXUgZm9yIEV1cm9wZSBhbmQgdGhlIENvbW1vbndlYWx0aCBvZiBJbmRlcGVuZGVudCBTdGF0
ZXM8L3B1Ymxpc2hlcj48dXJscz48L3VybHM+PC9yZWNvcmQ+PC9DaXRlPjwvRW5kTm90ZT4A
</w:fldData>
        </w:fldChar>
      </w:r>
      <w:r w:rsidRPr="002F6199">
        <w:rPr>
          <w:rFonts w:cstheme="minorHAnsi"/>
          <w:lang w:val="en-US"/>
        </w:rPr>
        <w:instrText xml:space="preserve"> ADDIN EN.CITE.DATA </w:instrText>
      </w:r>
      <w:r w:rsidRPr="002F6199">
        <w:rPr>
          <w:rFonts w:cstheme="minorHAnsi"/>
          <w:lang w:val="en-US"/>
        </w:rPr>
      </w:r>
      <w:r w:rsidRPr="002F6199">
        <w:rPr>
          <w:rFonts w:cstheme="minorHAnsi"/>
          <w:lang w:val="en-US"/>
        </w:rPr>
        <w:fldChar w:fldCharType="end"/>
      </w:r>
      <w:r w:rsidRPr="002F6199">
        <w:rPr>
          <w:rFonts w:cstheme="minorHAnsi"/>
          <w:lang w:val="en-US"/>
        </w:rPr>
      </w:r>
      <w:r w:rsidRPr="002F6199">
        <w:rPr>
          <w:rFonts w:cstheme="minorHAnsi"/>
          <w:lang w:val="en-US"/>
        </w:rPr>
        <w:fldChar w:fldCharType="separate"/>
      </w:r>
      <w:r w:rsidRPr="002F6199">
        <w:rPr>
          <w:rFonts w:cstheme="minorHAnsi"/>
          <w:noProof/>
          <w:lang w:val="en-US"/>
        </w:rPr>
        <w:t>(</w:t>
      </w:r>
      <w:hyperlink w:anchor="_ENREF_11" w:tooltip="Pomfret, 2005 #12" w:history="1">
        <w:r w:rsidRPr="002F6199">
          <w:rPr>
            <w:rFonts w:cstheme="minorHAnsi"/>
            <w:noProof/>
            <w:lang w:val="en-US"/>
          </w:rPr>
          <w:t>Pomfret, 2005</w:t>
        </w:r>
      </w:hyperlink>
      <w:r w:rsidRPr="002F6199">
        <w:rPr>
          <w:rFonts w:cstheme="minorHAnsi"/>
          <w:noProof/>
          <w:lang w:val="en-US"/>
        </w:rPr>
        <w:t xml:space="preserve">; </w:t>
      </w:r>
      <w:hyperlink w:anchor="_ENREF_13" w:tooltip="UNDP, 2005 #83" w:history="1">
        <w:r w:rsidRPr="002F6199">
          <w:rPr>
            <w:rFonts w:cstheme="minorHAnsi"/>
            <w:noProof/>
            <w:lang w:val="en-US"/>
          </w:rPr>
          <w:t>UNDP, 2005</w:t>
        </w:r>
      </w:hyperlink>
      <w:r w:rsidRPr="002F6199">
        <w:rPr>
          <w:rFonts w:cstheme="minorHAnsi"/>
          <w:noProof/>
          <w:lang w:val="en-US"/>
        </w:rPr>
        <w:t xml:space="preserve">; </w:t>
      </w:r>
      <w:hyperlink w:anchor="_ENREF_1" w:tooltip="ADB, 2006 #66" w:history="1">
        <w:r w:rsidRPr="002F6199">
          <w:rPr>
            <w:rFonts w:cstheme="minorHAnsi"/>
            <w:noProof/>
            <w:lang w:val="en-US"/>
          </w:rPr>
          <w:t>ADB, 2006</w:t>
        </w:r>
      </w:hyperlink>
      <w:r w:rsidRPr="002F6199">
        <w:rPr>
          <w:rFonts w:cstheme="minorHAnsi"/>
          <w:noProof/>
          <w:lang w:val="en-US"/>
        </w:rPr>
        <w:t>)</w:t>
      </w:r>
      <w:r w:rsidRPr="002F6199">
        <w:rPr>
          <w:rFonts w:cstheme="minorHAnsi"/>
          <w:lang w:val="en-US"/>
        </w:rPr>
        <w:fldChar w:fldCharType="end"/>
      </w:r>
      <w:r w:rsidRPr="002F6199">
        <w:rPr>
          <w:rFonts w:cstheme="minorHAnsi"/>
          <w:lang w:val="en-US"/>
        </w:rPr>
        <w:t xml:space="preserve">. The regional cooperation organizations could play an important role in improving economic cooperation and trade between the states. Furthermore, the regional cooperation could also facilitate the cumbersome transit bureaucracy between the countries, which could also increase the trade between non-CIS countries. However, the impacts of these organizations have been minimal in the past two decades and challenges associated with transportation remains unsolved </w:t>
      </w:r>
      <w:r w:rsidRPr="002F6199">
        <w:rPr>
          <w:rFonts w:cstheme="minorHAnsi"/>
          <w:lang w:val="en-US"/>
        </w:rPr>
        <w:fldChar w:fldCharType="begin"/>
      </w:r>
      <w:r w:rsidRPr="002F6199">
        <w:rPr>
          <w:rFonts w:cstheme="minorHAnsi"/>
          <w:lang w:val="en-US"/>
        </w:rPr>
        <w:instrText xml:space="preserve"> ADDIN EN.CITE &lt;EndNote&gt;&lt;Cite&gt;&lt;Author&gt;ADB&lt;/Author&gt;&lt;Year&gt;2006&lt;/Year&gt;&lt;RecNum&gt;66&lt;/RecNum&gt;&lt;DisplayText&gt;(ADB, 2006)&lt;/DisplayText&gt;&lt;record&gt;&lt;rec-number&gt;66&lt;/rec-number&gt;&lt;foreign-keys&gt;&lt;key app="EN" db-id="0erxvrzsjv5szqefaesv09e4awxs2t5saw90"&gt;66&lt;/key&gt;&lt;/foreign-keys&gt;&lt;ref-type name="Report"&gt;27&lt;/ref-type&gt;&lt;contributors&gt;&lt;authors&gt;&lt;author&gt;ADB&lt;/author&gt;&lt;/authors&gt;&lt;/contributors&gt;&lt;titles&gt;&lt;title&gt;Central Asia. Increasing Gains from Trade Through Regional Cooperation in Trade Policy, Transport, and Customs Transit&lt;/title&gt;&lt;/titles&gt;&lt;dates&gt;&lt;year&gt;2006&lt;/year&gt;&lt;/dates&gt;&lt;pub-location&gt;Philippines&lt;/pub-location&gt;&lt;publisher&gt;Asian Development Bank&lt;/publisher&gt;&lt;urls&gt;&lt;/urls&gt;&lt;/record&gt;&lt;/Cite&gt;&lt;/EndNote&gt;</w:instrText>
      </w:r>
      <w:r w:rsidRPr="002F6199">
        <w:rPr>
          <w:rFonts w:cstheme="minorHAnsi"/>
          <w:lang w:val="en-US"/>
        </w:rPr>
        <w:fldChar w:fldCharType="separate"/>
      </w:r>
      <w:r w:rsidRPr="002F6199">
        <w:rPr>
          <w:rFonts w:cstheme="minorHAnsi"/>
          <w:lang w:val="en-US"/>
        </w:rPr>
        <w:t>(</w:t>
      </w:r>
      <w:hyperlink w:anchor="_ENREF_1" w:tooltip="ADB, 2006 #66" w:history="1">
        <w:r w:rsidRPr="002F6199">
          <w:rPr>
            <w:rFonts w:cstheme="minorHAnsi"/>
            <w:lang w:val="en-US"/>
          </w:rPr>
          <w:t>ADB, 2006</w:t>
        </w:r>
      </w:hyperlink>
      <w:r w:rsidRPr="002F6199">
        <w:rPr>
          <w:rFonts w:cstheme="minorHAnsi"/>
          <w:lang w:val="en-US"/>
        </w:rPr>
        <w:t>)</w:t>
      </w:r>
      <w:r w:rsidRPr="002F6199">
        <w:rPr>
          <w:rFonts w:cstheme="minorHAnsi"/>
          <w:lang w:val="en-US"/>
        </w:rPr>
        <w:fldChar w:fldCharType="end"/>
      </w:r>
      <w:r w:rsidRPr="002F6199">
        <w:rPr>
          <w:rFonts w:cstheme="minorHAnsi"/>
          <w:lang w:val="en-US"/>
        </w:rPr>
        <w:t xml:space="preserve">. The fear that these organizations could become more political was one of the reasons for the failure of a wide number of regional agreements and cooperations </w:t>
      </w:r>
      <w:r w:rsidRPr="002F6199">
        <w:rPr>
          <w:rFonts w:cstheme="minorHAnsi"/>
          <w:lang w:val="en-US"/>
        </w:rPr>
        <w:fldChar w:fldCharType="begin"/>
      </w:r>
      <w:r w:rsidRPr="002F6199">
        <w:rPr>
          <w:rFonts w:cstheme="minorHAnsi"/>
          <w:lang w:val="en-US"/>
        </w:rPr>
        <w:instrText xml:space="preserve"> ADDIN EN.CITE &lt;EndNote&gt;&lt;Cite&gt;&lt;Author&gt;UNDP&lt;/Author&gt;&lt;Year&gt;2005&lt;/Year&gt;&lt;RecNum&gt;83&lt;/RecNum&gt;&lt;DisplayText&gt;(UNDP, 2005)&lt;/DisplayText&gt;&lt;record&gt;&lt;rec-number&gt;83&lt;/rec-number&gt;&lt;foreign-keys&gt;&lt;key app="EN" db-id="0erxvrzsjv5szqefaesv09e4awxs2t5saw90"&gt;83&lt;/key&gt;&lt;/foreign-keys&gt;&lt;ref-type name="Report"&gt;27&lt;/ref-type&gt;&lt;contributors&gt;&lt;authors&gt;&lt;author&gt;UNDP&lt;/author&gt;&lt;/authors&gt;&lt;/contributors&gt;&lt;titles&gt;&lt;title&gt;Central Asia human development report. Bringing down barriers: Regional cooperation for human development and human security&lt;/title&gt;&lt;/titles&gt;&lt;dates&gt;&lt;year&gt;2005&lt;/year&gt;&lt;/dates&gt;&lt;pub-location&gt;Bratislava, Slovak Republic&lt;/pub-location&gt;&lt;publisher&gt;The UNDP Regional Bureau for Europe and the Commonwealth of Independent States&lt;/publisher&gt;&lt;urls&gt;&lt;/urls&gt;&lt;/record&gt;&lt;/Cite&gt;&lt;/EndNote&gt;</w:instrText>
      </w:r>
      <w:r w:rsidRPr="002F6199">
        <w:rPr>
          <w:rFonts w:cstheme="minorHAnsi"/>
          <w:lang w:val="en-US"/>
        </w:rPr>
        <w:fldChar w:fldCharType="separate"/>
      </w:r>
      <w:r w:rsidRPr="002F6199">
        <w:rPr>
          <w:rFonts w:cstheme="minorHAnsi"/>
          <w:lang w:val="en-US"/>
        </w:rPr>
        <w:t>(</w:t>
      </w:r>
      <w:hyperlink w:anchor="_ENREF_13" w:tooltip="UNDP, 2005 #83" w:history="1">
        <w:r w:rsidRPr="002F6199">
          <w:rPr>
            <w:rFonts w:cstheme="minorHAnsi"/>
            <w:lang w:val="en-US"/>
          </w:rPr>
          <w:t>UNDP, 2005</w:t>
        </w:r>
      </w:hyperlink>
      <w:r w:rsidRPr="002F6199">
        <w:rPr>
          <w:rFonts w:cstheme="minorHAnsi"/>
          <w:lang w:val="en-US"/>
        </w:rPr>
        <w:t>)</w:t>
      </w:r>
      <w:r w:rsidRPr="002F6199">
        <w:rPr>
          <w:rFonts w:cstheme="minorHAnsi"/>
          <w:lang w:val="en-US"/>
        </w:rPr>
        <w:fldChar w:fldCharType="end"/>
      </w:r>
      <w:r w:rsidRPr="002F6199">
        <w:rPr>
          <w:rFonts w:cstheme="minorHAnsi"/>
          <w:lang w:val="en-US"/>
        </w:rPr>
        <w:t xml:space="preserve">. </w:t>
      </w:r>
    </w:p>
    <w:p w:rsidR="007C49FB" w:rsidRPr="002F6199" w:rsidRDefault="007C49FB" w:rsidP="002F6199">
      <w:pPr>
        <w:autoSpaceDE w:val="0"/>
        <w:autoSpaceDN w:val="0"/>
        <w:adjustRightInd w:val="0"/>
        <w:spacing w:line="360" w:lineRule="auto"/>
        <w:jc w:val="both"/>
        <w:rPr>
          <w:rFonts w:cstheme="minorHAnsi"/>
          <w:lang w:val="en-US"/>
        </w:rPr>
      </w:pPr>
      <w:r w:rsidRPr="002F6199">
        <w:rPr>
          <w:rFonts w:cstheme="minorHAnsi"/>
          <w:lang w:val="en-US"/>
        </w:rPr>
        <w:t xml:space="preserve">Furthermore, ethnic disputes and political problems between the states have negative impacts on trade of agricultural commodities between the countries. For example, ethnic violence against Uzbeks living in southern Kyrgyzstan that happened in June 2010 had negative impacts not only on food security in the country but also damaged trade relations of the country. The violence has displaced more than 350 thousand people in the country and more than 100 thousand crossed the border to Uzbekistan. The violence which continued for several weeks showed its negative impact on food security for several months </w:t>
      </w:r>
      <w:r w:rsidRPr="002F6199">
        <w:rPr>
          <w:rFonts w:cstheme="minorHAnsi"/>
          <w:lang w:val="en-US"/>
        </w:rPr>
        <w:fldChar w:fldCharType="begin"/>
      </w:r>
      <w:r w:rsidRPr="002F6199">
        <w:rPr>
          <w:rFonts w:cstheme="minorHAnsi"/>
          <w:lang w:val="en-US"/>
        </w:rPr>
        <w:instrText xml:space="preserve"> ADDIN EN.CITE &lt;EndNote&gt;&lt;Cite&gt;&lt;Author&gt;FAO&lt;/Author&gt;&lt;Year&gt;2010 &lt;/Year&gt;&lt;RecNum&gt;92&lt;/RecNum&gt;&lt;DisplayText&gt;(FAO and WFP, 2010 )&lt;/DisplayText&gt;&lt;record&gt;&lt;rec-number&gt;92&lt;/rec-number&gt;&lt;foreign-keys&gt;&lt;key app="EN" db-id="0erxvrzsjv5szqefaesv09e4awxs2t5saw90"&gt;92&lt;/key&gt;&lt;/foreign-keys&gt;&lt;ref-type name="Report"&gt;27&lt;/ref-type&gt;&lt;contributors&gt;&lt;authors&gt;&lt;author&gt;FAO&lt;/author&gt;&lt;author&gt;WFP&lt;/author&gt;&lt;/authors&gt;&lt;tertiary-authors&gt;&lt;author&gt;Rome&lt;/author&gt;&lt;/tertiary-authors&gt;&lt;/contributors&gt;&lt;titles&gt;&lt;title&gt;FAO/WFP crop and food security assessment mission to Kyrgyzstan&lt;/title&gt;&lt;/titles&gt;&lt;dates&gt;&lt;year&gt;2010 &lt;/year&gt;&lt;pub-dates&gt;&lt;date&gt;7 December 2010&lt;/date&gt;&lt;/pub-dates&gt;&lt;/dates&gt;&lt;publisher&gt;Food and Agriculture Organization of the United Nations&amp;#xD;World Food Programme&lt;/publisher&gt;&lt;urls&gt;&lt;/urls&gt;&lt;/record&gt;&lt;/Cite&gt;&lt;/EndNote&gt;</w:instrText>
      </w:r>
      <w:r w:rsidRPr="002F6199">
        <w:rPr>
          <w:rFonts w:cstheme="minorHAnsi"/>
          <w:lang w:val="en-US"/>
        </w:rPr>
        <w:fldChar w:fldCharType="separate"/>
      </w:r>
      <w:r w:rsidRPr="002F6199">
        <w:rPr>
          <w:rFonts w:cstheme="minorHAnsi"/>
          <w:lang w:val="en-US"/>
        </w:rPr>
        <w:t>(</w:t>
      </w:r>
      <w:hyperlink w:anchor="_ENREF_6" w:tooltip="FAO, 2010  #92" w:history="1">
        <w:r w:rsidRPr="002F6199">
          <w:rPr>
            <w:rFonts w:cstheme="minorHAnsi"/>
            <w:lang w:val="en-US"/>
          </w:rPr>
          <w:t xml:space="preserve">FAO and WFP, 2010 </w:t>
        </w:r>
      </w:hyperlink>
      <w:r w:rsidRPr="002F6199">
        <w:rPr>
          <w:rFonts w:cstheme="minorHAnsi"/>
          <w:lang w:val="en-US"/>
        </w:rPr>
        <w:t>)</w:t>
      </w:r>
      <w:r w:rsidRPr="002F6199">
        <w:rPr>
          <w:rFonts w:cstheme="minorHAnsi"/>
          <w:lang w:val="en-US"/>
        </w:rPr>
        <w:fldChar w:fldCharType="end"/>
      </w:r>
      <w:r w:rsidRPr="002F6199">
        <w:rPr>
          <w:rFonts w:cstheme="minorHAnsi"/>
          <w:lang w:val="en-US"/>
        </w:rPr>
        <w:t xml:space="preserve">. Closing the borders of Kazakhstan and Uzbekistan during this violent period reduced the flour and wheat imports to incredibly low levels and caused extremely high prices in Kyrgyzstan </w:t>
      </w:r>
      <w:r w:rsidRPr="002F6199">
        <w:rPr>
          <w:rFonts w:cstheme="minorHAnsi"/>
          <w:lang w:val="en-US"/>
        </w:rPr>
        <w:fldChar w:fldCharType="begin"/>
      </w:r>
      <w:r w:rsidRPr="002F6199">
        <w:rPr>
          <w:rFonts w:cstheme="minorHAnsi"/>
          <w:lang w:val="en-US"/>
        </w:rPr>
        <w:instrText xml:space="preserve"> ADDIN EN.CITE &lt;EndNote&gt;&lt;Cite&gt;&lt;Author&gt;Barrows&lt;/Author&gt;&lt;Year&gt;2010&lt;/Year&gt;&lt;RecNum&gt;73&lt;/RecNum&gt;&lt;DisplayText&gt;(Barrows and Gusev, 2010)&lt;/DisplayText&gt;&lt;record&gt;&lt;rec-number&gt;73&lt;/rec-number&gt;&lt;foreign-keys&gt;&lt;key app="EN" db-id="0erxvrzsjv5szqefaesv09e4awxs2t5saw90"&gt;73&lt;/key&gt;&lt;/foreign-keys&gt;&lt;ref-type name="Report"&gt;27&lt;/ref-type&gt;&lt;contributors&gt;&lt;authors&gt;&lt;author&gt;Benjamin Barrows&lt;/author&gt;&lt;author&gt;Eugenia Gusev&lt;/author&gt;&lt;/authors&gt;&lt;/contributors&gt;&lt;titles&gt;&lt;title&gt;Emergency Market Mapping and Analysis (EMMA). Wheat Flour Market System, Kyrgyzstan&lt;/title&gt;&lt;/titles&gt;&lt;dates&gt;&lt;year&gt;2010&lt;/year&gt;&lt;pub-dates&gt;&lt;date&gt;July 23-28, 2010&lt;/date&gt;&lt;/pub-dates&gt;&lt;/dates&gt;&lt;publisher&gt;International Rescue Committee&lt;/publisher&gt;&lt;urls&gt;&lt;related-urls&gt;&lt;url&gt;http://practicalaction.org/docs/emma/EMMA-Kyrgyzstan-report-Wheat.pdf&lt;/url&gt;&lt;/related-urls&gt;&lt;/urls&gt;&lt;access-date&gt;21.02.2013&lt;/access-date&gt;&lt;/record&gt;&lt;/Cite&gt;&lt;/EndNote&gt;</w:instrText>
      </w:r>
      <w:r w:rsidRPr="002F6199">
        <w:rPr>
          <w:rFonts w:cstheme="minorHAnsi"/>
          <w:lang w:val="en-US"/>
        </w:rPr>
        <w:fldChar w:fldCharType="separate"/>
      </w:r>
      <w:r w:rsidRPr="002F6199">
        <w:rPr>
          <w:rFonts w:cstheme="minorHAnsi"/>
          <w:lang w:val="en-US"/>
        </w:rPr>
        <w:t>(</w:t>
      </w:r>
      <w:hyperlink w:anchor="_ENREF_2" w:tooltip="Barrows, 2010 #73" w:history="1">
        <w:r w:rsidRPr="002F6199">
          <w:rPr>
            <w:rFonts w:cstheme="minorHAnsi"/>
            <w:lang w:val="en-US"/>
          </w:rPr>
          <w:t>Barrows and Gusev, 2010</w:t>
        </w:r>
      </w:hyperlink>
      <w:r w:rsidRPr="002F6199">
        <w:rPr>
          <w:rFonts w:cstheme="minorHAnsi"/>
          <w:lang w:val="en-US"/>
        </w:rPr>
        <w:t>)</w:t>
      </w:r>
      <w:r w:rsidRPr="002F6199">
        <w:rPr>
          <w:rFonts w:cstheme="minorHAnsi"/>
          <w:lang w:val="en-US"/>
        </w:rPr>
        <w:fldChar w:fldCharType="end"/>
      </w:r>
      <w:r w:rsidRPr="002F6199">
        <w:rPr>
          <w:rFonts w:cstheme="minorHAnsi"/>
          <w:lang w:val="en-US"/>
        </w:rPr>
        <w:t>. The large scale mills and bakeries stopped operations due to the lack of wheat and flour associated with damage to the import infrastructure during the violence. The negative effect continued for several years also due to complications associated with the trade activities transiting Uzbekistan.</w:t>
      </w:r>
    </w:p>
    <w:p w:rsidR="007C49FB" w:rsidRPr="002F6199" w:rsidRDefault="007C49FB" w:rsidP="002F6199">
      <w:pPr>
        <w:spacing w:line="360" w:lineRule="auto"/>
        <w:jc w:val="both"/>
        <w:rPr>
          <w:rFonts w:cstheme="minorHAnsi"/>
          <w:lang w:val="en-US"/>
        </w:rPr>
      </w:pPr>
      <w:r w:rsidRPr="002F6199">
        <w:rPr>
          <w:rFonts w:cstheme="minorHAnsi"/>
          <w:lang w:val="en-US"/>
        </w:rPr>
        <w:t xml:space="preserve">In addition to the ethnic disputes, resource related political disagreements also put much pressure on the function of agricultural commodity exchange between the countries. One of the examples could be given in case of Uzbek and Tajik political disputes over construction of the Rogun dam in Tajikistan. Uzbekistan is opposing the construction of the dam since the Uzbek government argues </w:t>
      </w:r>
      <w:r w:rsidRPr="002F6199">
        <w:rPr>
          <w:rFonts w:cstheme="minorHAnsi"/>
          <w:lang w:val="en-US"/>
        </w:rPr>
        <w:lastRenderedPageBreak/>
        <w:t xml:space="preserve">that it will reduce water availability in downstream regions especially during the summer periods </w:t>
      </w:r>
      <w:r w:rsidRPr="002F6199">
        <w:rPr>
          <w:rFonts w:cstheme="minorHAnsi"/>
          <w:lang w:val="en-US"/>
        </w:rPr>
        <w:fldChar w:fldCharType="begin"/>
      </w:r>
      <w:r w:rsidRPr="002F6199">
        <w:rPr>
          <w:rFonts w:cstheme="minorHAnsi"/>
          <w:lang w:val="en-US"/>
        </w:rPr>
        <w:instrText xml:space="preserve"> ADDIN EN.CITE &lt;EndNote&gt;&lt;Cite&gt;&lt;Author&gt;Eshchanov&lt;/Author&gt;&lt;Year&gt;2011&lt;/Year&gt;&lt;RecNum&gt;114&lt;/RecNum&gt;&lt;DisplayText&gt;(Eshchanov&lt;style face="italic"&gt; et al.&lt;/style&gt;, 2011)&lt;/DisplayText&gt;&lt;record&gt;&lt;rec-number&gt;114&lt;/rec-number&gt;&lt;foreign-keys&gt;&lt;key app="EN" db-id="0erxvrzsjv5szqefaesv09e4awxs2t5saw90"&gt;114&lt;/key&gt;&lt;/foreign-keys&gt;&lt;ref-type name="Journal Article"&gt;17&lt;/ref-type&gt;&lt;contributors&gt;&lt;authors&gt;&lt;author&gt;Eshchanov, B.R&lt;/author&gt;&lt;author&gt;Stultjes, M.G.P.&lt;/author&gt;&lt;author&gt;Salaev, S.K.&lt;/author&gt;&lt;author&gt;Eshchanov, R.A. &lt;/author&gt;&lt;/authors&gt;&lt;/contributors&gt;&lt;titles&gt;&lt;title&gt;Rogun Dam—Path to Energy Independence or Security Threat? &lt;/title&gt;&lt;secondary-title&gt;Sustainability&lt;/secondary-title&gt;&lt;/titles&gt;&lt;periodical&gt;&lt;full-title&gt;Sustainability&lt;/full-title&gt;&lt;/periodical&gt;&lt;pages&gt;1573-1592&lt;/pages&gt;&lt;volume&gt;3&lt;/volume&gt;&lt;dates&gt;&lt;year&gt;2011&lt;/year&gt;&lt;/dates&gt;&lt;urls&gt;&lt;/urls&gt;&lt;/record&gt;&lt;/Cite&gt;&lt;/EndNote&gt;</w:instrText>
      </w:r>
      <w:r w:rsidRPr="002F6199">
        <w:rPr>
          <w:rFonts w:cstheme="minorHAnsi"/>
          <w:lang w:val="en-US"/>
        </w:rPr>
        <w:fldChar w:fldCharType="separate"/>
      </w:r>
      <w:r w:rsidRPr="002F6199">
        <w:rPr>
          <w:rFonts w:cstheme="minorHAnsi"/>
          <w:lang w:val="en-US"/>
        </w:rPr>
        <w:t>(</w:t>
      </w:r>
      <w:hyperlink w:anchor="_ENREF_5" w:tooltip="Eshchanov, 2011 #114" w:history="1">
        <w:r w:rsidRPr="002F6199">
          <w:rPr>
            <w:rFonts w:cstheme="minorHAnsi"/>
            <w:lang w:val="en-US"/>
          </w:rPr>
          <w:t>Eshchanov et al., 2011</w:t>
        </w:r>
      </w:hyperlink>
      <w:r w:rsidRPr="002F6199">
        <w:rPr>
          <w:rFonts w:cstheme="minorHAnsi"/>
          <w:lang w:val="en-US"/>
        </w:rPr>
        <w:t>)</w:t>
      </w:r>
      <w:r w:rsidRPr="002F6199">
        <w:rPr>
          <w:rFonts w:cstheme="minorHAnsi"/>
          <w:lang w:val="en-US"/>
        </w:rPr>
        <w:fldChar w:fldCharType="end"/>
      </w:r>
      <w:r w:rsidRPr="002F6199">
        <w:rPr>
          <w:rFonts w:cstheme="minorHAnsi"/>
          <w:lang w:val="en-US"/>
        </w:rPr>
        <w:t xml:space="preserve">. The blockage of construction material transiting though Uzbekistan to Tajikistan has occurred some years which also resulted in negative impacts on trade of agricultural goods. This political dispute reduced the trade potential between these two countries. For example, Uzbekistan exports grain to Azerbaijan and could also export grain to Tajikistan in years when RUK countries have production shortfall or export restrictions if political disputes did not hinder this option. This could also function as risk minimization policy for Tajikistan since production risks are not correlated between Uzbekistan and RUK. </w:t>
      </w:r>
      <w:r w:rsidRPr="002F6199">
        <w:rPr>
          <w:rFonts w:cstheme="minorHAnsi"/>
          <w:lang w:val="en-US"/>
        </w:rPr>
        <w:fldChar w:fldCharType="begin"/>
      </w:r>
      <w:r w:rsidRPr="002F6199">
        <w:rPr>
          <w:rFonts w:cstheme="minorHAnsi"/>
          <w:lang w:val="en-US"/>
        </w:rPr>
        <w:instrText xml:space="preserve"> ADDIN EN.CITE &lt;EndNote&gt;&lt;Cite AuthorYear="1"&gt;&lt;Author&gt;USAID&lt;/Author&gt;&lt;Year&gt;2011&lt;/Year&gt;&lt;RecNum&gt;62&lt;/RecNum&gt;&lt;DisplayText&gt;USAID (2011)&lt;/DisplayText&gt;&lt;record&gt;&lt;rec-number&gt;62&lt;/rec-number&gt;&lt;foreign-keys&gt;&lt;key app="EN" db-id="0erxvrzsjv5szqefaesv09e4awxs2t5saw90"&gt;62&lt;/key&gt;&lt;/foreign-keys&gt;&lt;ref-type name="Report"&gt;27&lt;/ref-type&gt;&lt;contributors&gt;&lt;authors&gt;&lt;author&gt;USAID &lt;/author&gt;&lt;/authors&gt;&lt;/contributors&gt;&lt;titles&gt;&lt;title&gt;A regional view of wheat markets and food security in Central Asia. With a focus on Afghanistan and Tajikistan&lt;/title&gt;&lt;/titles&gt;&lt;dates&gt;&lt;year&gt;2011&lt;/year&gt;&lt;/dates&gt;&lt;publisher&gt;USAID, EWSNET, WFP&lt;/publisher&gt;&lt;urls&gt;&lt;/urls&gt;&lt;/record&gt;&lt;/Cite&gt;&lt;/EndNote&gt;</w:instrText>
      </w:r>
      <w:r w:rsidRPr="002F6199">
        <w:rPr>
          <w:rFonts w:cstheme="minorHAnsi"/>
          <w:lang w:val="en-US"/>
        </w:rPr>
        <w:fldChar w:fldCharType="separate"/>
      </w:r>
      <w:hyperlink w:anchor="_ENREF_14" w:tooltip="USAID, 2011 #62" w:history="1">
        <w:r w:rsidRPr="002F6199">
          <w:rPr>
            <w:rFonts w:cstheme="minorHAnsi"/>
            <w:lang w:val="en-US"/>
          </w:rPr>
          <w:t>USAID (2011</w:t>
        </w:r>
      </w:hyperlink>
      <w:r w:rsidRPr="002F6199">
        <w:rPr>
          <w:rFonts w:cstheme="minorHAnsi"/>
          <w:lang w:val="en-US"/>
        </w:rPr>
        <w:t>)</w:t>
      </w:r>
      <w:r w:rsidRPr="002F6199">
        <w:rPr>
          <w:rFonts w:cstheme="minorHAnsi"/>
          <w:lang w:val="en-US"/>
        </w:rPr>
        <w:fldChar w:fldCharType="end"/>
      </w:r>
      <w:r w:rsidRPr="002F6199">
        <w:rPr>
          <w:rFonts w:cstheme="minorHAnsi"/>
          <w:lang w:val="en-US"/>
        </w:rPr>
        <w:t xml:space="preserve"> discusses complaints of the traders from Tajikistan about the complications of buying grain from Uzbekistan which gives disincentives to the traders.</w:t>
      </w:r>
    </w:p>
    <w:p w:rsidR="007C49FB" w:rsidRPr="002F6199" w:rsidRDefault="007C49FB" w:rsidP="002F6199">
      <w:pPr>
        <w:spacing w:line="360" w:lineRule="auto"/>
        <w:rPr>
          <w:rFonts w:cstheme="minorHAnsi"/>
          <w:lang w:val="en-US"/>
        </w:rPr>
      </w:pPr>
      <w:r w:rsidRPr="002F6199">
        <w:rPr>
          <w:rFonts w:cstheme="minorHAnsi"/>
          <w:lang w:val="en-US"/>
        </w:rPr>
        <w:t xml:space="preserve">Trade limitation cause substantial differences in input prices between the regions. Highest input prices are found in Tajikistan. One of the main reasons for this problem could be explained by landlocked location of Tajikistan and transportation problems caused by transboundary water use disputes with Uzbekistan.  Cheapest input costs are found in Kazakhstan. </w:t>
      </w:r>
    </w:p>
    <w:p w:rsidR="00C22FEB" w:rsidRPr="002F6199" w:rsidRDefault="00C22FEB" w:rsidP="002F6199">
      <w:pPr>
        <w:spacing w:line="360" w:lineRule="auto"/>
        <w:jc w:val="both"/>
        <w:rPr>
          <w:b/>
          <w:lang w:val="en-US"/>
        </w:rPr>
      </w:pPr>
      <w:r w:rsidRPr="002F6199">
        <w:rPr>
          <w:noProof/>
          <w:lang w:eastAsia="de-DE"/>
        </w:rPr>
        <w:drawing>
          <wp:inline distT="0" distB="0" distL="0" distR="0" wp14:anchorId="7FAF1828" wp14:editId="7B3EBB9A">
            <wp:extent cx="3753135" cy="2511188"/>
            <wp:effectExtent l="0" t="0" r="0" b="0"/>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7C49FB" w:rsidRPr="002F6199" w:rsidRDefault="007C49FB" w:rsidP="002F6199">
      <w:pPr>
        <w:spacing w:line="360" w:lineRule="auto"/>
        <w:jc w:val="both"/>
        <w:rPr>
          <w:lang w:val="en-US"/>
        </w:rPr>
      </w:pPr>
      <w:r w:rsidRPr="002F6199">
        <w:rPr>
          <w:b/>
          <w:lang w:val="en-US"/>
        </w:rPr>
        <w:t>Fig. SM4.</w:t>
      </w:r>
      <w:r w:rsidRPr="002F6199">
        <w:rPr>
          <w:lang w:val="en-US"/>
        </w:rPr>
        <w:t xml:space="preserve"> Input price differences between the regions </w:t>
      </w:r>
    </w:p>
    <w:p w:rsidR="00C22FEB" w:rsidRPr="002F6199" w:rsidRDefault="00C22FEB" w:rsidP="002F6199">
      <w:pPr>
        <w:spacing w:line="360" w:lineRule="auto"/>
        <w:jc w:val="both"/>
        <w:rPr>
          <w:lang w:val="en-US"/>
        </w:rPr>
      </w:pPr>
      <w:r w:rsidRPr="002F6199">
        <w:rPr>
          <w:noProof/>
          <w:lang w:eastAsia="de-DE"/>
        </w:rPr>
        <w:lastRenderedPageBreak/>
        <w:drawing>
          <wp:inline distT="0" distB="0" distL="0" distR="0" wp14:anchorId="30AFF390" wp14:editId="691FB573">
            <wp:extent cx="3903260" cy="2634018"/>
            <wp:effectExtent l="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7C49FB" w:rsidRPr="002F6199" w:rsidRDefault="007C49FB" w:rsidP="002F6199">
      <w:pPr>
        <w:spacing w:line="360" w:lineRule="auto"/>
        <w:jc w:val="both"/>
        <w:rPr>
          <w:lang w:val="en-US"/>
        </w:rPr>
      </w:pPr>
      <w:r w:rsidRPr="002F6199">
        <w:rPr>
          <w:b/>
          <w:lang w:val="en-US"/>
        </w:rPr>
        <w:t>Fig. SM5.</w:t>
      </w:r>
      <w:r w:rsidRPr="002F6199">
        <w:rPr>
          <w:lang w:val="en-US"/>
        </w:rPr>
        <w:t xml:space="preserve"> Farm gate output price differences between the regions </w:t>
      </w:r>
    </w:p>
    <w:p w:rsidR="008536A5" w:rsidRPr="002F6199" w:rsidRDefault="008536A5" w:rsidP="002F6199">
      <w:pPr>
        <w:spacing w:line="360" w:lineRule="auto"/>
        <w:jc w:val="both"/>
        <w:rPr>
          <w:lang w:val="en-US"/>
        </w:rPr>
      </w:pPr>
    </w:p>
    <w:p w:rsidR="00E219D2" w:rsidRPr="002F6199" w:rsidRDefault="000C509D" w:rsidP="002F6199">
      <w:pPr>
        <w:pStyle w:val="berschrift1"/>
        <w:numPr>
          <w:ilvl w:val="0"/>
          <w:numId w:val="3"/>
        </w:numPr>
        <w:rPr>
          <w:rFonts w:asciiTheme="minorHAnsi" w:hAnsiTheme="minorHAnsi"/>
          <w:szCs w:val="22"/>
          <w:lang w:val="en-US"/>
        </w:rPr>
      </w:pPr>
      <w:r w:rsidRPr="002F6199">
        <w:rPr>
          <w:rFonts w:asciiTheme="minorHAnsi" w:hAnsiTheme="minorHAnsi"/>
          <w:szCs w:val="22"/>
          <w:lang w:val="en-US"/>
        </w:rPr>
        <w:t xml:space="preserve">Model results </w:t>
      </w:r>
    </w:p>
    <w:p w:rsidR="00EB3462" w:rsidRPr="002F6199" w:rsidRDefault="00EB3462" w:rsidP="002F6199">
      <w:pPr>
        <w:rPr>
          <w:rFonts w:cstheme="minorHAnsi"/>
          <w:lang w:val="en-US"/>
        </w:rPr>
      </w:pPr>
      <w:r w:rsidRPr="002F6199">
        <w:rPr>
          <w:rFonts w:cstheme="minorHAnsi"/>
          <w:lang w:val="en-US"/>
        </w:rPr>
        <w:t xml:space="preserve">This section provides more detailed information about the farm level crop allocation and management intensity levels for all considered agro-ecological zones and scenarios. </w:t>
      </w:r>
    </w:p>
    <w:p w:rsidR="00787DDA" w:rsidRPr="002F6199" w:rsidRDefault="0085205F" w:rsidP="002F6199">
      <w:pPr>
        <w:rPr>
          <w:b/>
          <w:lang w:val="en-US"/>
        </w:rPr>
      </w:pPr>
      <w:r w:rsidRPr="002F6199">
        <w:rPr>
          <w:b/>
          <w:lang w:val="en-US"/>
        </w:rPr>
        <w:t>Table SM5</w:t>
      </w:r>
    </w:p>
    <w:p w:rsidR="00566471" w:rsidRPr="002F6199" w:rsidRDefault="00566471" w:rsidP="002F6199">
      <w:pPr>
        <w:rPr>
          <w:rFonts w:cstheme="minorHAnsi"/>
          <w:lang w:val="en-US"/>
        </w:rPr>
      </w:pPr>
      <w:r w:rsidRPr="002F6199">
        <w:rPr>
          <w:rFonts w:cstheme="minorHAnsi"/>
          <w:lang w:val="en-US"/>
        </w:rPr>
        <w:t xml:space="preserve">Change in crop areas under different scenarios, ha </w:t>
      </w:r>
    </w:p>
    <w:tbl>
      <w:tblPr>
        <w:tblW w:w="7080" w:type="dxa"/>
        <w:tblInd w:w="55" w:type="dxa"/>
        <w:tblCellMar>
          <w:left w:w="70" w:type="dxa"/>
          <w:right w:w="70" w:type="dxa"/>
        </w:tblCellMar>
        <w:tblLook w:val="04A0" w:firstRow="1" w:lastRow="0" w:firstColumn="1" w:lastColumn="0" w:noHBand="0" w:noVBand="1"/>
      </w:tblPr>
      <w:tblGrid>
        <w:gridCol w:w="1320"/>
        <w:gridCol w:w="642"/>
        <w:gridCol w:w="642"/>
        <w:gridCol w:w="642"/>
        <w:gridCol w:w="642"/>
        <w:gridCol w:w="642"/>
        <w:gridCol w:w="642"/>
        <w:gridCol w:w="642"/>
        <w:gridCol w:w="642"/>
        <w:gridCol w:w="642"/>
      </w:tblGrid>
      <w:tr w:rsidR="00E421BE" w:rsidRPr="002F6199" w:rsidTr="00E421BE">
        <w:trPr>
          <w:trHeight w:val="315"/>
        </w:trPr>
        <w:tc>
          <w:tcPr>
            <w:tcW w:w="1320" w:type="dxa"/>
            <w:tcBorders>
              <w:top w:val="single" w:sz="8" w:space="0" w:color="auto"/>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val="en-US" w:eastAsia="de-DE"/>
              </w:rPr>
            </w:pPr>
            <w:r w:rsidRPr="002F6199">
              <w:rPr>
                <w:rFonts w:ascii="Calibri" w:eastAsia="Times New Roman" w:hAnsi="Calibri" w:cs="Times New Roman"/>
                <w:color w:val="000000"/>
                <w:sz w:val="18"/>
                <w:szCs w:val="18"/>
                <w:lang w:val="en-US" w:eastAsia="de-DE"/>
              </w:rPr>
              <w:t> </w:t>
            </w:r>
          </w:p>
        </w:tc>
        <w:tc>
          <w:tcPr>
            <w:tcW w:w="640" w:type="dxa"/>
            <w:tcBorders>
              <w:top w:val="single" w:sz="8" w:space="0" w:color="auto"/>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val="en-US" w:eastAsia="de-DE"/>
              </w:rPr>
            </w:pPr>
            <w:r w:rsidRPr="002F6199">
              <w:rPr>
                <w:rFonts w:ascii="Calibri" w:eastAsia="Times New Roman" w:hAnsi="Calibri" w:cs="Times New Roman"/>
                <w:color w:val="000000"/>
                <w:sz w:val="18"/>
                <w:szCs w:val="18"/>
                <w:lang w:val="en-US" w:eastAsia="de-DE"/>
              </w:rPr>
              <w:t> </w:t>
            </w:r>
          </w:p>
        </w:tc>
        <w:tc>
          <w:tcPr>
            <w:tcW w:w="2560" w:type="dxa"/>
            <w:gridSpan w:val="4"/>
            <w:tcBorders>
              <w:top w:val="single" w:sz="8" w:space="0" w:color="auto"/>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val="en-US" w:eastAsia="de-DE"/>
              </w:rPr>
              <w:t>Normal water availability</w:t>
            </w:r>
          </w:p>
        </w:tc>
        <w:tc>
          <w:tcPr>
            <w:tcW w:w="2560" w:type="dxa"/>
            <w:gridSpan w:val="4"/>
            <w:tcBorders>
              <w:top w:val="single" w:sz="8" w:space="0" w:color="auto"/>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val="en-US" w:eastAsia="de-DE"/>
              </w:rPr>
              <w:t xml:space="preserve">30% water reduction </w:t>
            </w:r>
          </w:p>
        </w:tc>
      </w:tr>
      <w:tr w:rsidR="00E421BE" w:rsidRPr="002F6199" w:rsidTr="00E421BE">
        <w:trPr>
          <w:trHeight w:val="300"/>
        </w:trPr>
        <w:tc>
          <w:tcPr>
            <w:tcW w:w="1320" w:type="dxa"/>
            <w:vMerge w:val="restart"/>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val="en-US" w:eastAsia="de-DE"/>
              </w:rPr>
              <w:t> </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val="en-US" w:eastAsia="de-DE"/>
              </w:rPr>
              <w:t>base</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val="en-US" w:eastAsia="de-DE"/>
              </w:rPr>
              <w:t>A1b</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A1b</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A2</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A2</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A1b</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A1b</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A2</w:t>
            </w:r>
          </w:p>
        </w:tc>
        <w:tc>
          <w:tcPr>
            <w:tcW w:w="640" w:type="dxa"/>
            <w:tcBorders>
              <w:top w:val="nil"/>
              <w:left w:val="nil"/>
              <w:bottom w:val="nil"/>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A2</w:t>
            </w:r>
          </w:p>
        </w:tc>
      </w:tr>
      <w:tr w:rsidR="00E421BE" w:rsidRPr="002F6199" w:rsidTr="00E421BE">
        <w:trPr>
          <w:trHeight w:val="495"/>
        </w:trPr>
        <w:tc>
          <w:tcPr>
            <w:tcW w:w="1320" w:type="dxa"/>
            <w:vMerge/>
            <w:tcBorders>
              <w:top w:val="nil"/>
              <w:left w:val="nil"/>
              <w:bottom w:val="single" w:sz="8" w:space="0" w:color="000000"/>
              <w:right w:val="nil"/>
            </w:tcBorders>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2010-2040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2070-2100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2010-2040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2070-2100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2010-2040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2070-2100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2010-2040</w:t>
            </w:r>
          </w:p>
        </w:tc>
        <w:tc>
          <w:tcPr>
            <w:tcW w:w="640" w:type="dxa"/>
            <w:tcBorders>
              <w:top w:val="nil"/>
              <w:left w:val="nil"/>
              <w:bottom w:val="single" w:sz="8" w:space="0" w:color="000000"/>
              <w:right w:val="nil"/>
            </w:tcBorders>
            <w:shd w:val="clear" w:color="auto" w:fill="auto"/>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2070-2100</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Kazakhstan arid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0,01</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17,58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17,72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19,18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19,39</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9,34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8,69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8,59</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28</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28</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28</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28</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28</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26,99</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27,06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27,87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28</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Kazakhstan semiarid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8,88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4,85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3,62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5,74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3,71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1,39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3,62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1,42</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22,52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24,92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21,84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26,76</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7,54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7,88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7,84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6,85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7,27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5,48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7,21</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24,08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23,57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22,86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23,19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21,95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25,1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24,42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24,73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23,51</w:t>
            </w: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1,15</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2,41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18,67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18,59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15,46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20,12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18,41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20,05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16,95</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Kazakstan subhumid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lastRenderedPageBreak/>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422,44</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350,56</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773</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xml:space="preserve">Kyrgyzstan semiarid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0,15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1,82</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0,26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1,22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1,2</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4,55</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4,4</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4,56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4,43</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Kyrgyzstan subhumid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2,05</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0,79</w:t>
            </w: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0,27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0,27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0,32</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3,16</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Tajikistan arid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1,32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1,82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1,28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0,54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2,12</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0,95</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high</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3,21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3,39</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3,09</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3,49</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3,08</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xml:space="preserve">Tajikistan semiarid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1,22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1,26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1,68</w:t>
            </w: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0,28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0,28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0,28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0,1</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1,37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1,72</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4,6</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Tajikistan humid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1,38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0,88</w:t>
            </w: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0,14</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0,53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0,69</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xml:space="preserve">total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2,09</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2,06</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1,58</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1,57</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1,71</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Uzbekistan arid</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14,91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8,19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9,33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10,16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13,32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7,09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7,59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8,81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10,35</w:t>
            </w: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1,39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2,67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0,81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2,33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5,22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3,51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3,36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1,59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7,15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8,06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4,56</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9,86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6,97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6,99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8,69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6,44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6,44</w:t>
            </w:r>
          </w:p>
        </w:tc>
      </w:tr>
      <w:tr w:rsidR="00E421BE" w:rsidRPr="002F6199" w:rsidTr="00E421BE">
        <w:trPr>
          <w:trHeight w:val="315"/>
        </w:trPr>
        <w:tc>
          <w:tcPr>
            <w:tcW w:w="132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27,1</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22,33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21,34</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22,33</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21,34</w:t>
            </w:r>
          </w:p>
        </w:tc>
      </w:tr>
      <w:tr w:rsidR="00E421BE" w:rsidRPr="002F6199" w:rsidTr="00E421BE">
        <w:trPr>
          <w:trHeight w:val="315"/>
        </w:trPr>
        <w:tc>
          <w:tcPr>
            <w:tcW w:w="2600" w:type="dxa"/>
            <w:gridSpan w:val="3"/>
            <w:tcBorders>
              <w:top w:val="single" w:sz="8" w:space="0" w:color="000000"/>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jc w:val="center"/>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xml:space="preserve">Uzbekistan semiarid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c>
          <w:tcPr>
            <w:tcW w:w="640" w:type="dxa"/>
            <w:tcBorders>
              <w:top w:val="nil"/>
              <w:left w:val="nil"/>
              <w:bottom w:val="single" w:sz="8" w:space="0" w:color="000000"/>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 </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18,76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9,03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17,34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7,83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17,82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5,89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11,11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4,74</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16,79</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lastRenderedPageBreak/>
              <w:t>wheat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3,08</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potato low</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4,76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4,91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5,17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4,87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3,19</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2,76</w:t>
            </w: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8,57</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4,93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6,22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r>
      <w:tr w:rsidR="00E421BE" w:rsidRPr="002F6199" w:rsidTr="00E421BE">
        <w:trPr>
          <w:trHeight w:val="300"/>
        </w:trPr>
        <w:tc>
          <w:tcPr>
            <w:tcW w:w="1960" w:type="dxa"/>
            <w:gridSpan w:val="2"/>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average</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1,15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0,42</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cotton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2,23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2,36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0,93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7,93</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7,65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7,8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1,96</w:t>
            </w:r>
          </w:p>
        </w:tc>
      </w:tr>
      <w:tr w:rsidR="00E421BE" w:rsidRPr="002F6199" w:rsidTr="00E421BE">
        <w:trPr>
          <w:trHeight w:val="300"/>
        </w:trPr>
        <w:tc>
          <w:tcPr>
            <w:tcW w:w="132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wheat high</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10,58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9,01</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9,88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8,76</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10,48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8,42</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8,55</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8,48</w:t>
            </w:r>
          </w:p>
        </w:tc>
        <w:tc>
          <w:tcPr>
            <w:tcW w:w="640" w:type="dxa"/>
            <w:tcBorders>
              <w:top w:val="nil"/>
              <w:left w:val="nil"/>
              <w:bottom w:val="nil"/>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9,08</w:t>
            </w:r>
          </w:p>
        </w:tc>
      </w:tr>
      <w:tr w:rsidR="00E421BE" w:rsidRPr="002F6199" w:rsidTr="00E421BE">
        <w:trPr>
          <w:trHeight w:val="315"/>
        </w:trPr>
        <w:tc>
          <w:tcPr>
            <w:tcW w:w="132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total</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34,1</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33,82</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34,1</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33,82</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34,1</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30,38</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30,48</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30,43</w:t>
            </w:r>
          </w:p>
        </w:tc>
        <w:tc>
          <w:tcPr>
            <w:tcW w:w="640" w:type="dxa"/>
            <w:tcBorders>
              <w:top w:val="nil"/>
              <w:left w:val="nil"/>
              <w:bottom w:val="single" w:sz="8" w:space="0" w:color="auto"/>
              <w:right w:val="nil"/>
            </w:tcBorders>
            <w:shd w:val="clear" w:color="auto" w:fill="auto"/>
            <w:noWrap/>
            <w:vAlign w:val="center"/>
            <w:hideMark/>
          </w:tcPr>
          <w:p w:rsidR="00E421BE" w:rsidRPr="002F6199" w:rsidRDefault="00E421BE" w:rsidP="002F6199">
            <w:pPr>
              <w:spacing w:after="0" w:line="240" w:lineRule="auto"/>
              <w:jc w:val="right"/>
              <w:rPr>
                <w:rFonts w:ascii="Calibri" w:eastAsia="Times New Roman" w:hAnsi="Calibri" w:cs="Times New Roman"/>
                <w:color w:val="000000"/>
                <w:sz w:val="18"/>
                <w:szCs w:val="18"/>
                <w:lang w:eastAsia="de-DE"/>
              </w:rPr>
            </w:pPr>
            <w:r w:rsidRPr="002F6199">
              <w:rPr>
                <w:rFonts w:ascii="Calibri" w:eastAsia="Times New Roman" w:hAnsi="Calibri" w:cs="Times New Roman"/>
                <w:color w:val="000000"/>
                <w:sz w:val="18"/>
                <w:szCs w:val="18"/>
                <w:lang w:eastAsia="de-DE"/>
              </w:rPr>
              <w:t>34,1</w:t>
            </w:r>
          </w:p>
        </w:tc>
      </w:tr>
    </w:tbl>
    <w:p w:rsidR="004E4174" w:rsidRPr="002F6199" w:rsidRDefault="004E4174" w:rsidP="002F6199">
      <w:pPr>
        <w:rPr>
          <w:rFonts w:cstheme="minorHAnsi"/>
          <w:lang w:val="en-US"/>
        </w:rPr>
      </w:pPr>
    </w:p>
    <w:p w:rsidR="001B1334" w:rsidRPr="002F6199" w:rsidRDefault="001B1334" w:rsidP="002F6199">
      <w:pPr>
        <w:pStyle w:val="berschrift1"/>
        <w:numPr>
          <w:ilvl w:val="0"/>
          <w:numId w:val="3"/>
        </w:numPr>
        <w:rPr>
          <w:rFonts w:asciiTheme="minorHAnsi" w:hAnsiTheme="minorHAnsi"/>
          <w:szCs w:val="22"/>
          <w:lang w:val="en-US"/>
        </w:rPr>
      </w:pPr>
      <w:r w:rsidRPr="002F6199">
        <w:rPr>
          <w:rFonts w:asciiTheme="minorHAnsi" w:hAnsiTheme="minorHAnsi"/>
          <w:szCs w:val="22"/>
          <w:lang w:val="en-US"/>
        </w:rPr>
        <w:t>Scenario simulation with water availability levels</w:t>
      </w:r>
    </w:p>
    <w:p w:rsidR="00F0542F" w:rsidRPr="002F6199" w:rsidRDefault="00F0542F" w:rsidP="002F6199">
      <w:pPr>
        <w:spacing w:line="360" w:lineRule="auto"/>
        <w:jc w:val="both"/>
        <w:rPr>
          <w:rFonts w:cstheme="minorHAnsi"/>
          <w:lang w:val="en-US"/>
        </w:rPr>
      </w:pPr>
      <w:r w:rsidRPr="002F6199">
        <w:rPr>
          <w:rFonts w:cstheme="minorHAnsi"/>
          <w:lang w:val="en-US"/>
        </w:rPr>
        <w:t xml:space="preserve">Sensitivity of the considered farms to different water availability level is simulated. X axes indicate the water availability levels in figures below. </w:t>
      </w:r>
      <w:r w:rsidR="00036374" w:rsidRPr="002F6199">
        <w:rPr>
          <w:rFonts w:cstheme="minorHAnsi"/>
          <w:lang w:val="en-US"/>
        </w:rPr>
        <w:t>Some farms (e.g. located in the subhumid zones of Kazakhstan, the semiarid zones of Tajikistan) show less reduction of their revenues under reduction of water availability levels to high contribution of rainfall to the water requirement of crops. In contrast farms located in the arid and semiarid zones in Uzbekistan show very high reduction of their revenues under declining water availability levels. Similar decline is also seen in case of semiarid regions of Kyrgyzstan.</w:t>
      </w:r>
    </w:p>
    <w:p w:rsidR="001B1334" w:rsidRPr="002F6199" w:rsidRDefault="001B1334" w:rsidP="002F6199">
      <w:pPr>
        <w:spacing w:line="360" w:lineRule="auto"/>
        <w:jc w:val="both"/>
        <w:rPr>
          <w:b/>
          <w:lang w:val="en-US"/>
        </w:rPr>
      </w:pPr>
      <w:r w:rsidRPr="002F6199">
        <w:rPr>
          <w:b/>
          <w:noProof/>
          <w:lang w:eastAsia="de-DE"/>
        </w:rPr>
        <w:drawing>
          <wp:inline distT="0" distB="0" distL="0" distR="0" wp14:anchorId="0080EA54" wp14:editId="6CAA3B0E">
            <wp:extent cx="5759450" cy="346646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759450" cy="3466465"/>
                    </a:xfrm>
                    <a:prstGeom prst="rect">
                      <a:avLst/>
                    </a:prstGeom>
                    <a:noFill/>
                    <a:ln>
                      <a:noFill/>
                    </a:ln>
                  </pic:spPr>
                </pic:pic>
              </a:graphicData>
            </a:graphic>
          </wp:inline>
        </w:drawing>
      </w:r>
      <w:r w:rsidR="0076788A" w:rsidRPr="002F6199">
        <w:rPr>
          <w:b/>
          <w:lang w:val="en-US"/>
        </w:rPr>
        <w:t xml:space="preserve">Fig SM6. </w:t>
      </w:r>
      <w:r w:rsidR="0076788A" w:rsidRPr="002F6199">
        <w:rPr>
          <w:lang w:val="en-US"/>
        </w:rPr>
        <w:t>Sensitivity test to water availability levels.</w:t>
      </w:r>
      <w:r w:rsidR="0076788A" w:rsidRPr="002F6199">
        <w:rPr>
          <w:b/>
          <w:lang w:val="en-US"/>
        </w:rPr>
        <w:t xml:space="preserve"> </w:t>
      </w:r>
    </w:p>
    <w:p w:rsidR="006B45C3" w:rsidRPr="002F6199" w:rsidRDefault="00E219D2" w:rsidP="002F6199">
      <w:pPr>
        <w:spacing w:line="360" w:lineRule="auto"/>
        <w:jc w:val="both"/>
        <w:rPr>
          <w:b/>
          <w:lang w:val="en-US"/>
        </w:rPr>
      </w:pPr>
      <w:r w:rsidRPr="002F6199">
        <w:rPr>
          <w:b/>
          <w:lang w:val="en-US"/>
        </w:rPr>
        <w:t>References</w:t>
      </w:r>
    </w:p>
    <w:p w:rsidR="007C49FB" w:rsidRPr="002F6199" w:rsidRDefault="00E219D2" w:rsidP="002F6199">
      <w:pPr>
        <w:spacing w:after="0" w:line="240" w:lineRule="auto"/>
        <w:rPr>
          <w:rFonts w:ascii="Calibri" w:hAnsi="Calibri"/>
          <w:noProof/>
          <w:lang w:val="en-US"/>
        </w:rPr>
      </w:pPr>
      <w:r w:rsidRPr="002F6199">
        <w:rPr>
          <w:lang w:val="en-US"/>
        </w:rPr>
        <w:fldChar w:fldCharType="begin"/>
      </w:r>
      <w:r w:rsidRPr="002F6199">
        <w:rPr>
          <w:lang w:val="en-US"/>
        </w:rPr>
        <w:instrText xml:space="preserve"> ADDIN EN.REFLIST </w:instrText>
      </w:r>
      <w:r w:rsidRPr="002F6199">
        <w:rPr>
          <w:lang w:val="en-US"/>
        </w:rPr>
        <w:fldChar w:fldCharType="separate"/>
      </w:r>
      <w:bookmarkStart w:id="1" w:name="_ENREF_1"/>
      <w:r w:rsidR="007C49FB" w:rsidRPr="002F6199">
        <w:rPr>
          <w:rFonts w:ascii="Calibri" w:hAnsi="Calibri"/>
          <w:noProof/>
          <w:lang w:val="en-US"/>
        </w:rPr>
        <w:t>ADB, 2006. Central Asia. Increasing Gains from Trade Through Regional Cooperation in Trade Policy, Transport, and Customs Transit. Asian Development Bank, Philippines.</w:t>
      </w:r>
      <w:bookmarkEnd w:id="1"/>
    </w:p>
    <w:p w:rsidR="007C49FB" w:rsidRPr="002F6199" w:rsidRDefault="007C49FB" w:rsidP="002F6199">
      <w:pPr>
        <w:spacing w:after="0" w:line="240" w:lineRule="auto"/>
        <w:rPr>
          <w:rFonts w:ascii="Calibri" w:hAnsi="Calibri"/>
          <w:noProof/>
          <w:lang w:val="en-US"/>
        </w:rPr>
      </w:pPr>
      <w:bookmarkStart w:id="2" w:name="_ENREF_2"/>
      <w:r w:rsidRPr="002F6199">
        <w:rPr>
          <w:rFonts w:ascii="Calibri" w:hAnsi="Calibri"/>
          <w:noProof/>
          <w:lang w:val="en-US"/>
        </w:rPr>
        <w:t>Barrows, B., Gusev, E., 2010. Emergency Market Mapping and Analysis (EMMA). Wheat Flour Market System, Kyrgyzstan. International Rescue Committee.</w:t>
      </w:r>
      <w:bookmarkEnd w:id="2"/>
    </w:p>
    <w:p w:rsidR="007C49FB" w:rsidRPr="002F6199" w:rsidRDefault="007C49FB" w:rsidP="002F6199">
      <w:pPr>
        <w:spacing w:after="0" w:line="240" w:lineRule="auto"/>
        <w:rPr>
          <w:rFonts w:ascii="Calibri" w:hAnsi="Calibri"/>
          <w:noProof/>
          <w:lang w:val="en-US"/>
        </w:rPr>
      </w:pPr>
      <w:bookmarkStart w:id="3" w:name="_ENREF_3"/>
      <w:r w:rsidRPr="002F6199">
        <w:rPr>
          <w:rFonts w:ascii="Calibri" w:hAnsi="Calibri"/>
          <w:noProof/>
          <w:lang w:val="en-US"/>
        </w:rPr>
        <w:lastRenderedPageBreak/>
        <w:t>Bobojonov, I., Franz, J., Berg, E., Lamers, J.P.A., Martius, C., 2010. Improved Policy Making for Sustainable Farming: A Case Study on Irrigated Dryland Agriculture in Western Uzbekistan. Journal of Sustainable Agriculture 34, 800 – 817.</w:t>
      </w:r>
      <w:bookmarkEnd w:id="3"/>
    </w:p>
    <w:p w:rsidR="007C49FB" w:rsidRPr="002F6199" w:rsidRDefault="007C49FB" w:rsidP="002F6199">
      <w:pPr>
        <w:spacing w:after="0" w:line="240" w:lineRule="auto"/>
        <w:rPr>
          <w:rFonts w:ascii="Calibri" w:hAnsi="Calibri"/>
          <w:noProof/>
          <w:lang w:val="en-US"/>
        </w:rPr>
      </w:pPr>
      <w:bookmarkStart w:id="4" w:name="_ENREF_4"/>
      <w:r w:rsidRPr="002F6199">
        <w:rPr>
          <w:rFonts w:ascii="Calibri" w:hAnsi="Calibri"/>
          <w:noProof/>
          <w:lang w:val="en-US"/>
        </w:rPr>
        <w:t>Djanibekov, N., Assche, K.v., Bobojonov, I., Lamers, J.P.A., 2012. Farm Restructuring and Land Consolidation in Uzbekistan: New Farms with Old Barriers. Europe-Asia Studies 64, 1101-1126.</w:t>
      </w:r>
      <w:bookmarkEnd w:id="4"/>
    </w:p>
    <w:p w:rsidR="007C49FB" w:rsidRPr="002F6199" w:rsidRDefault="007C49FB" w:rsidP="002F6199">
      <w:pPr>
        <w:spacing w:after="0" w:line="240" w:lineRule="auto"/>
        <w:rPr>
          <w:rFonts w:ascii="Calibri" w:hAnsi="Calibri"/>
          <w:noProof/>
          <w:lang w:val="en-US"/>
        </w:rPr>
      </w:pPr>
      <w:bookmarkStart w:id="5" w:name="_ENREF_5"/>
      <w:r w:rsidRPr="002F6199">
        <w:rPr>
          <w:rFonts w:ascii="Calibri" w:hAnsi="Calibri"/>
          <w:noProof/>
          <w:lang w:val="en-US"/>
        </w:rPr>
        <w:t>Eshchanov, B.R., Stultjes, M.G.P., Salaev, S.K., Eshchanov, R.A., 2011. Rogun Dam—Path to Energy Independence or Security Threat? . Sustainability 3, 1573-1592.</w:t>
      </w:r>
      <w:bookmarkEnd w:id="5"/>
    </w:p>
    <w:p w:rsidR="007C49FB" w:rsidRPr="002F6199" w:rsidRDefault="007C49FB" w:rsidP="002F6199">
      <w:pPr>
        <w:spacing w:line="240" w:lineRule="auto"/>
        <w:rPr>
          <w:rFonts w:ascii="Calibri" w:hAnsi="Calibri"/>
          <w:noProof/>
          <w:lang w:val="en-US"/>
        </w:rPr>
      </w:pPr>
      <w:bookmarkStart w:id="6" w:name="_ENREF_6"/>
      <w:r w:rsidRPr="002F6199">
        <w:rPr>
          <w:rFonts w:ascii="Calibri" w:hAnsi="Calibri"/>
          <w:noProof/>
          <w:lang w:val="en-US"/>
        </w:rPr>
        <w:t>FAO, WFP, 2010 FAO/WFP crop and food security assessment mission to Kyrgyzstan. Food and Agriculture Organization of the United Nations</w:t>
      </w:r>
      <w:r w:rsidR="0014070E" w:rsidRPr="002F6199">
        <w:rPr>
          <w:rFonts w:ascii="Calibri" w:hAnsi="Calibri"/>
          <w:noProof/>
          <w:lang w:val="en-US"/>
        </w:rPr>
        <w:t xml:space="preserve"> </w:t>
      </w:r>
      <w:r w:rsidRPr="002F6199">
        <w:rPr>
          <w:rFonts w:ascii="Calibri" w:hAnsi="Calibri"/>
          <w:noProof/>
          <w:lang w:val="en-US"/>
        </w:rPr>
        <w:t>World Food Programme.</w:t>
      </w:r>
      <w:bookmarkEnd w:id="6"/>
    </w:p>
    <w:p w:rsidR="007C49FB" w:rsidRPr="002F6199" w:rsidRDefault="007C49FB" w:rsidP="002F6199">
      <w:pPr>
        <w:spacing w:after="0" w:line="240" w:lineRule="auto"/>
        <w:rPr>
          <w:rFonts w:ascii="Calibri" w:hAnsi="Calibri"/>
          <w:noProof/>
          <w:lang w:val="en-US"/>
        </w:rPr>
      </w:pPr>
      <w:bookmarkStart w:id="7" w:name="_ENREF_7"/>
      <w:r w:rsidRPr="002F6199">
        <w:rPr>
          <w:rFonts w:ascii="Calibri" w:hAnsi="Calibri"/>
          <w:noProof/>
        </w:rPr>
        <w:t xml:space="preserve">Hardaker, J.B., Lien, G., 2010. </w:t>
      </w:r>
      <w:r w:rsidRPr="002F6199">
        <w:rPr>
          <w:rFonts w:ascii="Calibri" w:hAnsi="Calibri"/>
          <w:noProof/>
          <w:lang w:val="en-US"/>
        </w:rPr>
        <w:t>Probabilities for decision analysis in agriculture and rural resource economics: The need for a paradigm change. Agricultural Systems 103, 345-350.</w:t>
      </w:r>
      <w:bookmarkEnd w:id="7"/>
    </w:p>
    <w:p w:rsidR="007C49FB" w:rsidRPr="002F6199" w:rsidRDefault="007C49FB" w:rsidP="002F6199">
      <w:pPr>
        <w:spacing w:after="0" w:line="240" w:lineRule="auto"/>
        <w:rPr>
          <w:rFonts w:ascii="Calibri" w:hAnsi="Calibri"/>
          <w:noProof/>
          <w:lang w:val="en-US"/>
        </w:rPr>
      </w:pPr>
      <w:bookmarkStart w:id="8" w:name="_ENREF_8"/>
      <w:r w:rsidRPr="002F6199">
        <w:rPr>
          <w:rFonts w:ascii="Calibri" w:hAnsi="Calibri"/>
          <w:noProof/>
          <w:lang w:val="en-US"/>
        </w:rPr>
        <w:t>Heckelei, T., 2002. Calibration and estimation of programming models for agricultural supply analysis. Universität Bonn, Bonn.</w:t>
      </w:r>
      <w:bookmarkEnd w:id="8"/>
    </w:p>
    <w:p w:rsidR="007C49FB" w:rsidRPr="002F6199" w:rsidRDefault="007C49FB" w:rsidP="002F6199">
      <w:pPr>
        <w:spacing w:after="0" w:line="240" w:lineRule="auto"/>
        <w:rPr>
          <w:rFonts w:ascii="Calibri" w:hAnsi="Calibri"/>
          <w:noProof/>
          <w:lang w:val="en-US"/>
        </w:rPr>
      </w:pPr>
      <w:bookmarkStart w:id="9" w:name="_ENREF_9"/>
      <w:r w:rsidRPr="002F6199">
        <w:rPr>
          <w:rFonts w:ascii="Calibri" w:hAnsi="Calibri"/>
          <w:noProof/>
          <w:lang w:val="en-US"/>
        </w:rPr>
        <w:t xml:space="preserve">Howitt, R.E., 1995. Positive Mathematical Programming. American Journal of Agricultural Economics 77, 329-342 </w:t>
      </w:r>
      <w:bookmarkEnd w:id="9"/>
    </w:p>
    <w:p w:rsidR="007C49FB" w:rsidRPr="002F6199" w:rsidRDefault="007C49FB" w:rsidP="002F6199">
      <w:pPr>
        <w:spacing w:after="0" w:line="240" w:lineRule="auto"/>
        <w:rPr>
          <w:rFonts w:ascii="Calibri" w:hAnsi="Calibri"/>
          <w:noProof/>
          <w:lang w:val="en-US"/>
        </w:rPr>
      </w:pPr>
      <w:bookmarkStart w:id="10" w:name="_ENREF_10"/>
      <w:r w:rsidRPr="002F6199">
        <w:rPr>
          <w:rFonts w:ascii="Calibri" w:hAnsi="Calibri"/>
          <w:noProof/>
          <w:lang w:val="en-US"/>
        </w:rPr>
        <w:t>Kato, E., Nkonya, E., 2012. DSSAT model for cotton and potato ICARDA, Aleppo.</w:t>
      </w:r>
      <w:bookmarkEnd w:id="10"/>
    </w:p>
    <w:p w:rsidR="007C49FB" w:rsidRPr="002F6199" w:rsidRDefault="007C49FB" w:rsidP="002F6199">
      <w:pPr>
        <w:spacing w:after="0" w:line="240" w:lineRule="auto"/>
        <w:rPr>
          <w:rFonts w:ascii="Calibri" w:hAnsi="Calibri"/>
          <w:noProof/>
          <w:lang w:val="en-US"/>
        </w:rPr>
      </w:pPr>
      <w:bookmarkStart w:id="11" w:name="_ENREF_11"/>
      <w:r w:rsidRPr="002F6199">
        <w:rPr>
          <w:rFonts w:ascii="Calibri" w:hAnsi="Calibri"/>
          <w:noProof/>
          <w:lang w:val="en-US"/>
        </w:rPr>
        <w:t>Pomfret, R., 2005. Trade policies in Central Asia after EU enlargement and before Russian WTO accession: Regionalism and integration into the world economy. Economic Systems 29, 32-58.</w:t>
      </w:r>
      <w:bookmarkEnd w:id="11"/>
    </w:p>
    <w:p w:rsidR="007C49FB" w:rsidRPr="002F6199" w:rsidRDefault="007C49FB" w:rsidP="002F6199">
      <w:pPr>
        <w:spacing w:after="0" w:line="240" w:lineRule="auto"/>
        <w:rPr>
          <w:rFonts w:ascii="Calibri" w:hAnsi="Calibri"/>
          <w:noProof/>
          <w:lang w:val="en-US"/>
        </w:rPr>
      </w:pPr>
      <w:bookmarkStart w:id="12" w:name="_ENREF_12"/>
      <w:r w:rsidRPr="002F6199">
        <w:rPr>
          <w:rFonts w:ascii="Calibri" w:hAnsi="Calibri"/>
          <w:noProof/>
          <w:lang w:val="en-US"/>
        </w:rPr>
        <w:t>Sommer, R., Glazirina, M., Yuldashev, T., 2012. Impact of Climate Change on rural livelihood in Central Asia –  Component 1: “Assessing the vulnerability of selected agro-ecosystems in Central Asia to threats resulting from climate change – production and productivity of wheat. . Adaptation to Climate Change in Central Asia and People’s Republic of China. ICARDA, Aleppo.</w:t>
      </w:r>
      <w:bookmarkEnd w:id="12"/>
    </w:p>
    <w:p w:rsidR="007C49FB" w:rsidRPr="002F6199" w:rsidRDefault="007C49FB" w:rsidP="002F6199">
      <w:pPr>
        <w:spacing w:after="0" w:line="240" w:lineRule="auto"/>
        <w:rPr>
          <w:rFonts w:ascii="Calibri" w:hAnsi="Calibri"/>
          <w:noProof/>
          <w:lang w:val="en-US"/>
        </w:rPr>
      </w:pPr>
      <w:bookmarkStart w:id="13" w:name="_ENREF_13"/>
      <w:r w:rsidRPr="002F6199">
        <w:rPr>
          <w:rFonts w:ascii="Calibri" w:hAnsi="Calibri"/>
          <w:noProof/>
          <w:lang w:val="en-US"/>
        </w:rPr>
        <w:t>UNDP, 2005. Central Asia human development report. Bringing down barriers: Regional cooperation for human development and human security. The UNDP Regional Bureau for Europe and the Commonwealth of Independent States, Bratislava, Slovak Republic.</w:t>
      </w:r>
      <w:bookmarkEnd w:id="13"/>
    </w:p>
    <w:p w:rsidR="007C49FB" w:rsidRPr="002F6199" w:rsidRDefault="007C49FB" w:rsidP="002F6199">
      <w:pPr>
        <w:spacing w:line="240" w:lineRule="auto"/>
        <w:rPr>
          <w:rFonts w:ascii="Calibri" w:hAnsi="Calibri"/>
          <w:noProof/>
          <w:lang w:val="en-US"/>
        </w:rPr>
      </w:pPr>
      <w:bookmarkStart w:id="14" w:name="_ENREF_14"/>
      <w:r w:rsidRPr="002F6199">
        <w:rPr>
          <w:rFonts w:ascii="Calibri" w:hAnsi="Calibri"/>
          <w:noProof/>
          <w:lang w:val="en-US"/>
        </w:rPr>
        <w:t>USAID, 2011. A regional view of wheat markets and food security in Central Asia. With a focus on Afghanistan and Tajikistan. USAID, EWSNET, WFP.</w:t>
      </w:r>
      <w:bookmarkEnd w:id="14"/>
    </w:p>
    <w:p w:rsidR="007C49FB" w:rsidRPr="002F6199" w:rsidRDefault="007C49FB" w:rsidP="002F6199">
      <w:pPr>
        <w:spacing w:line="240" w:lineRule="auto"/>
        <w:rPr>
          <w:rFonts w:ascii="Calibri" w:hAnsi="Calibri"/>
          <w:noProof/>
          <w:lang w:val="en-US"/>
        </w:rPr>
      </w:pPr>
    </w:p>
    <w:p w:rsidR="00E219D2" w:rsidRPr="00566471" w:rsidRDefault="00E219D2" w:rsidP="002F6199">
      <w:pPr>
        <w:rPr>
          <w:lang w:val="en-US"/>
        </w:rPr>
      </w:pPr>
      <w:r w:rsidRPr="002F6199">
        <w:rPr>
          <w:lang w:val="en-US"/>
        </w:rPr>
        <w:fldChar w:fldCharType="end"/>
      </w:r>
    </w:p>
    <w:sectPr w:rsidR="00E219D2" w:rsidRPr="00566471" w:rsidSect="005B4BF2">
      <w:footerReference w:type="default" r:id="rId68"/>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AB1" w:rsidRDefault="00FE4AB1" w:rsidP="00FE4AB1">
      <w:pPr>
        <w:spacing w:after="0" w:line="240" w:lineRule="auto"/>
      </w:pPr>
      <w:r>
        <w:separator/>
      </w:r>
    </w:p>
  </w:endnote>
  <w:endnote w:type="continuationSeparator" w:id="0">
    <w:p w:rsidR="00FE4AB1" w:rsidRDefault="00FE4AB1" w:rsidP="00FE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988234"/>
      <w:docPartObj>
        <w:docPartGallery w:val="Page Numbers (Bottom of Page)"/>
        <w:docPartUnique/>
      </w:docPartObj>
    </w:sdtPr>
    <w:sdtEndPr/>
    <w:sdtContent>
      <w:p w:rsidR="00FE4AB1" w:rsidRDefault="00FE4AB1">
        <w:pPr>
          <w:pStyle w:val="Fuzeile"/>
          <w:jc w:val="center"/>
        </w:pPr>
        <w:r>
          <w:fldChar w:fldCharType="begin"/>
        </w:r>
        <w:r>
          <w:instrText>PAGE   \* MERGEFORMAT</w:instrText>
        </w:r>
        <w:r>
          <w:fldChar w:fldCharType="separate"/>
        </w:r>
        <w:r w:rsidR="00A219F3">
          <w:rPr>
            <w:noProof/>
          </w:rPr>
          <w:t>1</w:t>
        </w:r>
        <w:r>
          <w:fldChar w:fldCharType="end"/>
        </w:r>
      </w:p>
    </w:sdtContent>
  </w:sdt>
  <w:p w:rsidR="00FE4AB1" w:rsidRDefault="00FE4AB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AB1" w:rsidRDefault="00FE4AB1" w:rsidP="00FE4AB1">
      <w:pPr>
        <w:spacing w:after="0" w:line="240" w:lineRule="auto"/>
      </w:pPr>
      <w:r>
        <w:separator/>
      </w:r>
    </w:p>
  </w:footnote>
  <w:footnote w:type="continuationSeparator" w:id="0">
    <w:p w:rsidR="00FE4AB1" w:rsidRDefault="00FE4AB1" w:rsidP="00FE4A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55967"/>
    <w:multiLevelType w:val="multilevel"/>
    <w:tmpl w:val="9C98232C"/>
    <w:lvl w:ilvl="0">
      <w:start w:val="1"/>
      <w:numFmt w:val="decimal"/>
      <w:lvlText w:val="%1."/>
      <w:lvlJc w:val="left"/>
      <w:pPr>
        <w:ind w:left="360" w:hanging="360"/>
      </w:pPr>
      <w:rPr>
        <w:rFonts w:hint="default"/>
        <w:sz w:val="22"/>
        <w:szCs w:val="28"/>
      </w:rPr>
    </w:lvl>
    <w:lvl w:ilvl="1">
      <w:start w:val="1"/>
      <w:numFmt w:val="decimal"/>
      <w:pStyle w:val="11"/>
      <w:lvlText w:val="%1.%2."/>
      <w:lvlJc w:val="left"/>
      <w:pPr>
        <w:ind w:left="792" w:hanging="432"/>
      </w:pPr>
      <w:rPr>
        <w:rFonts w:hint="default"/>
        <w:b/>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2FB6B5A"/>
    <w:multiLevelType w:val="hybridMultilevel"/>
    <w:tmpl w:val="3B9895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66B50092"/>
    <w:multiLevelType w:val="hybridMultilevel"/>
    <w:tmpl w:val="3B9895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88330B0"/>
    <w:multiLevelType w:val="hybridMultilevel"/>
    <w:tmpl w:val="F54641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FAE39CA"/>
    <w:multiLevelType w:val="hybridMultilevel"/>
    <w:tmpl w:val="3B9895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E9B6768"/>
    <w:multiLevelType w:val="multilevel"/>
    <w:tmpl w:val="C6FC34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Agri Ecosys Enviro&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erxvrzsjv5szqefaesv09e4awxs2t5saw90&quot;&gt;Literature Database&lt;record-ids&gt;&lt;item&gt;12&lt;/item&gt;&lt;item&gt;62&lt;/item&gt;&lt;item&gt;66&lt;/item&gt;&lt;item&gt;73&lt;/item&gt;&lt;item&gt;83&lt;/item&gt;&lt;item&gt;92&lt;/item&gt;&lt;item&gt;114&lt;/item&gt;&lt;item&gt;118&lt;/item&gt;&lt;item&gt;131&lt;/item&gt;&lt;item&gt;141&lt;/item&gt;&lt;item&gt;157&lt;/item&gt;&lt;item&gt;159&lt;/item&gt;&lt;item&gt;160&lt;/item&gt;&lt;/record-ids&gt;&lt;/item&gt;&lt;/Libraries&gt;"/>
  </w:docVars>
  <w:rsids>
    <w:rsidRoot w:val="00BF54FF"/>
    <w:rsid w:val="00036374"/>
    <w:rsid w:val="000604A8"/>
    <w:rsid w:val="00066C53"/>
    <w:rsid w:val="00072F78"/>
    <w:rsid w:val="0008732F"/>
    <w:rsid w:val="000C509D"/>
    <w:rsid w:val="000E17B4"/>
    <w:rsid w:val="000F220C"/>
    <w:rsid w:val="00107236"/>
    <w:rsid w:val="00116C63"/>
    <w:rsid w:val="00124B36"/>
    <w:rsid w:val="001330FF"/>
    <w:rsid w:val="0014070E"/>
    <w:rsid w:val="0017186D"/>
    <w:rsid w:val="00183AE6"/>
    <w:rsid w:val="001A4A55"/>
    <w:rsid w:val="001B1334"/>
    <w:rsid w:val="001C33F9"/>
    <w:rsid w:val="001C4D9F"/>
    <w:rsid w:val="001F02F1"/>
    <w:rsid w:val="001F611E"/>
    <w:rsid w:val="00220843"/>
    <w:rsid w:val="002412FD"/>
    <w:rsid w:val="002B6934"/>
    <w:rsid w:val="002B70E3"/>
    <w:rsid w:val="002F53A8"/>
    <w:rsid w:val="002F6199"/>
    <w:rsid w:val="003005D0"/>
    <w:rsid w:val="00305912"/>
    <w:rsid w:val="003235CA"/>
    <w:rsid w:val="003465C9"/>
    <w:rsid w:val="0038797F"/>
    <w:rsid w:val="003F0944"/>
    <w:rsid w:val="00406F10"/>
    <w:rsid w:val="00432105"/>
    <w:rsid w:val="00451ABA"/>
    <w:rsid w:val="0045626E"/>
    <w:rsid w:val="004701CD"/>
    <w:rsid w:val="00476227"/>
    <w:rsid w:val="004A00AC"/>
    <w:rsid w:val="004B0D11"/>
    <w:rsid w:val="004C05D6"/>
    <w:rsid w:val="004E0F66"/>
    <w:rsid w:val="004E4174"/>
    <w:rsid w:val="00522B7B"/>
    <w:rsid w:val="005556F1"/>
    <w:rsid w:val="00566471"/>
    <w:rsid w:val="00591BFF"/>
    <w:rsid w:val="005B35A7"/>
    <w:rsid w:val="005B4BF2"/>
    <w:rsid w:val="005C2F32"/>
    <w:rsid w:val="005C6034"/>
    <w:rsid w:val="005F433F"/>
    <w:rsid w:val="0061066F"/>
    <w:rsid w:val="00614795"/>
    <w:rsid w:val="00621DAD"/>
    <w:rsid w:val="00643615"/>
    <w:rsid w:val="0065458E"/>
    <w:rsid w:val="00655701"/>
    <w:rsid w:val="006557C7"/>
    <w:rsid w:val="006559CF"/>
    <w:rsid w:val="00656E37"/>
    <w:rsid w:val="00690038"/>
    <w:rsid w:val="006A4ACD"/>
    <w:rsid w:val="006B1A51"/>
    <w:rsid w:val="006B45C3"/>
    <w:rsid w:val="006C623A"/>
    <w:rsid w:val="00701AE0"/>
    <w:rsid w:val="00723491"/>
    <w:rsid w:val="00764FAA"/>
    <w:rsid w:val="0076788A"/>
    <w:rsid w:val="00785A92"/>
    <w:rsid w:val="0078671F"/>
    <w:rsid w:val="00787DDA"/>
    <w:rsid w:val="007C49FB"/>
    <w:rsid w:val="008027AE"/>
    <w:rsid w:val="008030E6"/>
    <w:rsid w:val="0083187B"/>
    <w:rsid w:val="0085205F"/>
    <w:rsid w:val="008536A5"/>
    <w:rsid w:val="00862108"/>
    <w:rsid w:val="0088376D"/>
    <w:rsid w:val="0088465D"/>
    <w:rsid w:val="008A003A"/>
    <w:rsid w:val="008A7D1B"/>
    <w:rsid w:val="008B5448"/>
    <w:rsid w:val="008E7FE4"/>
    <w:rsid w:val="008F0163"/>
    <w:rsid w:val="00923A5A"/>
    <w:rsid w:val="009323C9"/>
    <w:rsid w:val="00940533"/>
    <w:rsid w:val="009448B0"/>
    <w:rsid w:val="00946EA9"/>
    <w:rsid w:val="00952EBE"/>
    <w:rsid w:val="00985D82"/>
    <w:rsid w:val="009861B2"/>
    <w:rsid w:val="0098732F"/>
    <w:rsid w:val="009940B3"/>
    <w:rsid w:val="009A6959"/>
    <w:rsid w:val="009B5248"/>
    <w:rsid w:val="009C191D"/>
    <w:rsid w:val="009C59B7"/>
    <w:rsid w:val="009D4ED5"/>
    <w:rsid w:val="009E6547"/>
    <w:rsid w:val="00A031C6"/>
    <w:rsid w:val="00A05871"/>
    <w:rsid w:val="00A07F17"/>
    <w:rsid w:val="00A11169"/>
    <w:rsid w:val="00A219F3"/>
    <w:rsid w:val="00A23FC7"/>
    <w:rsid w:val="00A615A7"/>
    <w:rsid w:val="00A80669"/>
    <w:rsid w:val="00A9235E"/>
    <w:rsid w:val="00B237F2"/>
    <w:rsid w:val="00B527E7"/>
    <w:rsid w:val="00B81B7A"/>
    <w:rsid w:val="00BB4798"/>
    <w:rsid w:val="00BE3658"/>
    <w:rsid w:val="00BE4CFB"/>
    <w:rsid w:val="00BF54FF"/>
    <w:rsid w:val="00C22FEB"/>
    <w:rsid w:val="00C470D0"/>
    <w:rsid w:val="00C90AF1"/>
    <w:rsid w:val="00C94255"/>
    <w:rsid w:val="00CC705D"/>
    <w:rsid w:val="00CD4463"/>
    <w:rsid w:val="00CF45D0"/>
    <w:rsid w:val="00D41608"/>
    <w:rsid w:val="00D92A94"/>
    <w:rsid w:val="00DA2EDF"/>
    <w:rsid w:val="00DB121C"/>
    <w:rsid w:val="00DE040D"/>
    <w:rsid w:val="00E00633"/>
    <w:rsid w:val="00E01650"/>
    <w:rsid w:val="00E150BA"/>
    <w:rsid w:val="00E219D2"/>
    <w:rsid w:val="00E421BE"/>
    <w:rsid w:val="00E539C5"/>
    <w:rsid w:val="00E63F3B"/>
    <w:rsid w:val="00E86E31"/>
    <w:rsid w:val="00EB3462"/>
    <w:rsid w:val="00ED5C55"/>
    <w:rsid w:val="00ED64F8"/>
    <w:rsid w:val="00EF7D8F"/>
    <w:rsid w:val="00F0542F"/>
    <w:rsid w:val="00F468CF"/>
    <w:rsid w:val="00F577F0"/>
    <w:rsid w:val="00FB6EF6"/>
    <w:rsid w:val="00FE4AB1"/>
    <w:rsid w:val="00FF7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701CD"/>
  </w:style>
  <w:style w:type="paragraph" w:styleId="berschrift1">
    <w:name w:val="heading 1"/>
    <w:aliases w:val="TB Überschrift 1"/>
    <w:basedOn w:val="Standard"/>
    <w:next w:val="Standard"/>
    <w:link w:val="berschrift1Zchn"/>
    <w:qFormat/>
    <w:rsid w:val="00E219D2"/>
    <w:pPr>
      <w:keepNext/>
      <w:spacing w:before="240" w:after="240" w:line="240" w:lineRule="auto"/>
      <w:outlineLvl w:val="0"/>
    </w:pPr>
    <w:rPr>
      <w:rFonts w:asciiTheme="majorHAnsi" w:eastAsia="Times New Roman" w:hAnsiTheme="majorHAnsi" w:cs="Times New Roman"/>
      <w:b/>
      <w:bCs/>
      <w:kern w:val="32"/>
      <w:szCs w:val="32"/>
      <w:lang w:val="en-GB"/>
    </w:rPr>
  </w:style>
  <w:style w:type="paragraph" w:styleId="berschrift2">
    <w:name w:val="heading 2"/>
    <w:basedOn w:val="Standard"/>
    <w:next w:val="Standard"/>
    <w:link w:val="berschrift2Zchn"/>
    <w:uiPriority w:val="9"/>
    <w:semiHidden/>
    <w:unhideWhenUsed/>
    <w:qFormat/>
    <w:rsid w:val="00D92A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F54F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54FF"/>
    <w:rPr>
      <w:rFonts w:ascii="Tahoma" w:hAnsi="Tahoma" w:cs="Tahoma"/>
      <w:sz w:val="16"/>
      <w:szCs w:val="16"/>
    </w:rPr>
  </w:style>
  <w:style w:type="character" w:customStyle="1" w:styleId="berschrift1Zchn">
    <w:name w:val="Überschrift 1 Zchn"/>
    <w:aliases w:val="TB Überschrift 1 Zchn"/>
    <w:basedOn w:val="Absatz-Standardschriftart"/>
    <w:link w:val="berschrift1"/>
    <w:rsid w:val="00E219D2"/>
    <w:rPr>
      <w:rFonts w:asciiTheme="majorHAnsi" w:eastAsia="Times New Roman" w:hAnsiTheme="majorHAnsi" w:cs="Times New Roman"/>
      <w:b/>
      <w:bCs/>
      <w:kern w:val="32"/>
      <w:szCs w:val="32"/>
      <w:lang w:val="en-GB"/>
    </w:rPr>
  </w:style>
  <w:style w:type="paragraph" w:styleId="Beschriftung">
    <w:name w:val="caption"/>
    <w:basedOn w:val="Standard"/>
    <w:next w:val="Standard"/>
    <w:link w:val="BeschriftungZchn"/>
    <w:qFormat/>
    <w:rsid w:val="00E219D2"/>
    <w:pPr>
      <w:spacing w:before="120" w:beforeAutospacing="1" w:after="120" w:afterAutospacing="1" w:line="240" w:lineRule="auto"/>
      <w:jc w:val="both"/>
    </w:pPr>
    <w:rPr>
      <w:rFonts w:ascii="Times New Roman" w:eastAsia="Times New Roman" w:hAnsi="Times New Roman" w:cs="Times New Roman"/>
      <w:b/>
      <w:bCs/>
      <w:sz w:val="20"/>
      <w:szCs w:val="20"/>
      <w:lang w:val="en-GB"/>
    </w:rPr>
  </w:style>
  <w:style w:type="character" w:customStyle="1" w:styleId="BeschriftungZchn">
    <w:name w:val="Beschriftung Zchn"/>
    <w:basedOn w:val="Absatz-Standardschriftart"/>
    <w:link w:val="Beschriftung"/>
    <w:rsid w:val="00E219D2"/>
    <w:rPr>
      <w:rFonts w:ascii="Times New Roman" w:eastAsia="Times New Roman" w:hAnsi="Times New Roman" w:cs="Times New Roman"/>
      <w:b/>
      <w:bCs/>
      <w:sz w:val="20"/>
      <w:szCs w:val="20"/>
      <w:lang w:val="en-GB"/>
    </w:rPr>
  </w:style>
  <w:style w:type="character" w:styleId="Hyperlink">
    <w:name w:val="Hyperlink"/>
    <w:basedOn w:val="Absatz-Standardschriftart"/>
    <w:uiPriority w:val="99"/>
    <w:unhideWhenUsed/>
    <w:rsid w:val="00E219D2"/>
    <w:rPr>
      <w:color w:val="0000FF" w:themeColor="hyperlink"/>
      <w:u w:val="single"/>
    </w:rPr>
  </w:style>
  <w:style w:type="character" w:styleId="Kommentarzeichen">
    <w:name w:val="annotation reference"/>
    <w:basedOn w:val="Absatz-Standardschriftart"/>
    <w:uiPriority w:val="99"/>
    <w:semiHidden/>
    <w:unhideWhenUsed/>
    <w:rsid w:val="00D92A94"/>
    <w:rPr>
      <w:sz w:val="16"/>
      <w:szCs w:val="16"/>
    </w:rPr>
  </w:style>
  <w:style w:type="paragraph" w:styleId="Kommentartext">
    <w:name w:val="annotation text"/>
    <w:basedOn w:val="Standard"/>
    <w:link w:val="KommentartextZchn"/>
    <w:uiPriority w:val="99"/>
    <w:unhideWhenUsed/>
    <w:rsid w:val="00D92A94"/>
    <w:pPr>
      <w:spacing w:after="0" w:line="240" w:lineRule="auto"/>
    </w:pPr>
    <w:rPr>
      <w:rFonts w:ascii="Times New Roman" w:eastAsia="Times New Roman" w:hAnsi="Times New Roman" w:cs="Times New Roman"/>
      <w:sz w:val="20"/>
      <w:szCs w:val="20"/>
      <w:lang w:val="en-US"/>
    </w:rPr>
  </w:style>
  <w:style w:type="character" w:customStyle="1" w:styleId="KommentartextZchn">
    <w:name w:val="Kommentartext Zchn"/>
    <w:basedOn w:val="Absatz-Standardschriftart"/>
    <w:link w:val="Kommentartext"/>
    <w:uiPriority w:val="99"/>
    <w:rsid w:val="00D92A94"/>
    <w:rPr>
      <w:rFonts w:ascii="Times New Roman" w:eastAsia="Times New Roman" w:hAnsi="Times New Roman" w:cs="Times New Roman"/>
      <w:sz w:val="20"/>
      <w:szCs w:val="20"/>
      <w:lang w:val="en-US"/>
    </w:rPr>
  </w:style>
  <w:style w:type="paragraph" w:customStyle="1" w:styleId="11">
    <w:name w:val="1.1"/>
    <w:basedOn w:val="berschrift2"/>
    <w:qFormat/>
    <w:rsid w:val="00D92A94"/>
    <w:pPr>
      <w:keepLines w:val="0"/>
      <w:numPr>
        <w:ilvl w:val="1"/>
        <w:numId w:val="2"/>
      </w:numPr>
      <w:spacing w:before="240" w:after="240" w:line="240" w:lineRule="auto"/>
      <w:ind w:left="1440" w:hanging="360"/>
    </w:pPr>
    <w:rPr>
      <w:rFonts w:asciiTheme="minorHAnsi" w:eastAsia="Times New Roman" w:hAnsiTheme="minorHAnsi" w:cs="Times New Roman"/>
      <w:i/>
      <w:iCs/>
      <w:color w:val="auto"/>
      <w:sz w:val="22"/>
      <w:szCs w:val="22"/>
      <w:lang w:val="en-US"/>
    </w:rPr>
  </w:style>
  <w:style w:type="character" w:customStyle="1" w:styleId="berschrift2Zchn">
    <w:name w:val="Überschrift 2 Zchn"/>
    <w:basedOn w:val="Absatz-Standardschriftart"/>
    <w:link w:val="berschrift2"/>
    <w:uiPriority w:val="9"/>
    <w:semiHidden/>
    <w:rsid w:val="00D92A94"/>
    <w:rPr>
      <w:rFonts w:asciiTheme="majorHAnsi" w:eastAsiaTheme="majorEastAsia" w:hAnsiTheme="majorHAnsi" w:cstheme="majorBidi"/>
      <w:b/>
      <w:bCs/>
      <w:color w:val="4F81BD" w:themeColor="accent1"/>
      <w:sz w:val="26"/>
      <w:szCs w:val="26"/>
    </w:rPr>
  </w:style>
  <w:style w:type="paragraph" w:customStyle="1" w:styleId="yiv1688172167msonormal">
    <w:name w:val="yiv1688172167msonormal"/>
    <w:basedOn w:val="Standard"/>
    <w:rsid w:val="009C191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enabsatz">
    <w:name w:val="List Paragraph"/>
    <w:basedOn w:val="Standard"/>
    <w:uiPriority w:val="34"/>
    <w:qFormat/>
    <w:rsid w:val="009940B3"/>
    <w:pPr>
      <w:ind w:left="720"/>
      <w:contextualSpacing/>
    </w:pPr>
  </w:style>
  <w:style w:type="character" w:styleId="Zeilennummer">
    <w:name w:val="line number"/>
    <w:basedOn w:val="Absatz-Standardschriftart"/>
    <w:uiPriority w:val="99"/>
    <w:semiHidden/>
    <w:unhideWhenUsed/>
    <w:rsid w:val="005B4BF2"/>
  </w:style>
  <w:style w:type="paragraph" w:styleId="Kopfzeile">
    <w:name w:val="header"/>
    <w:basedOn w:val="Standard"/>
    <w:link w:val="KopfzeileZchn"/>
    <w:uiPriority w:val="99"/>
    <w:unhideWhenUsed/>
    <w:rsid w:val="00FE4A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AB1"/>
  </w:style>
  <w:style w:type="paragraph" w:styleId="Fuzeile">
    <w:name w:val="footer"/>
    <w:basedOn w:val="Standard"/>
    <w:link w:val="FuzeileZchn"/>
    <w:uiPriority w:val="99"/>
    <w:unhideWhenUsed/>
    <w:rsid w:val="00FE4A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AB1"/>
  </w:style>
  <w:style w:type="paragraph" w:styleId="Kommentarthema">
    <w:name w:val="annotation subject"/>
    <w:basedOn w:val="Kommentartext"/>
    <w:next w:val="Kommentartext"/>
    <w:link w:val="KommentarthemaZchn"/>
    <w:uiPriority w:val="99"/>
    <w:semiHidden/>
    <w:unhideWhenUsed/>
    <w:rsid w:val="00701AE0"/>
    <w:pPr>
      <w:spacing w:after="200"/>
    </w:pPr>
    <w:rPr>
      <w:rFonts w:asciiTheme="minorHAnsi" w:eastAsiaTheme="minorHAnsi" w:hAnsiTheme="minorHAnsi" w:cstheme="minorBidi"/>
      <w:b/>
      <w:bCs/>
      <w:lang w:val="de-DE"/>
    </w:rPr>
  </w:style>
  <w:style w:type="character" w:customStyle="1" w:styleId="KommentarthemaZchn">
    <w:name w:val="Kommentarthema Zchn"/>
    <w:basedOn w:val="KommentartextZchn"/>
    <w:link w:val="Kommentarthema"/>
    <w:uiPriority w:val="99"/>
    <w:semiHidden/>
    <w:rsid w:val="00701AE0"/>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2649">
      <w:bodyDiv w:val="1"/>
      <w:marLeft w:val="0"/>
      <w:marRight w:val="0"/>
      <w:marTop w:val="0"/>
      <w:marBottom w:val="0"/>
      <w:divBdr>
        <w:top w:val="none" w:sz="0" w:space="0" w:color="auto"/>
        <w:left w:val="none" w:sz="0" w:space="0" w:color="auto"/>
        <w:bottom w:val="none" w:sz="0" w:space="0" w:color="auto"/>
        <w:right w:val="none" w:sz="0" w:space="0" w:color="auto"/>
      </w:divBdr>
    </w:div>
    <w:div w:id="521940868">
      <w:bodyDiv w:val="1"/>
      <w:marLeft w:val="0"/>
      <w:marRight w:val="0"/>
      <w:marTop w:val="0"/>
      <w:marBottom w:val="0"/>
      <w:divBdr>
        <w:top w:val="none" w:sz="0" w:space="0" w:color="auto"/>
        <w:left w:val="none" w:sz="0" w:space="0" w:color="auto"/>
        <w:bottom w:val="none" w:sz="0" w:space="0" w:color="auto"/>
        <w:right w:val="none" w:sz="0" w:space="0" w:color="auto"/>
      </w:divBdr>
    </w:div>
    <w:div w:id="565727182">
      <w:bodyDiv w:val="1"/>
      <w:marLeft w:val="0"/>
      <w:marRight w:val="0"/>
      <w:marTop w:val="0"/>
      <w:marBottom w:val="0"/>
      <w:divBdr>
        <w:top w:val="none" w:sz="0" w:space="0" w:color="auto"/>
        <w:left w:val="none" w:sz="0" w:space="0" w:color="auto"/>
        <w:bottom w:val="none" w:sz="0" w:space="0" w:color="auto"/>
        <w:right w:val="none" w:sz="0" w:space="0" w:color="auto"/>
      </w:divBdr>
    </w:div>
    <w:div w:id="681323376">
      <w:bodyDiv w:val="1"/>
      <w:marLeft w:val="0"/>
      <w:marRight w:val="0"/>
      <w:marTop w:val="0"/>
      <w:marBottom w:val="0"/>
      <w:divBdr>
        <w:top w:val="none" w:sz="0" w:space="0" w:color="auto"/>
        <w:left w:val="none" w:sz="0" w:space="0" w:color="auto"/>
        <w:bottom w:val="none" w:sz="0" w:space="0" w:color="auto"/>
        <w:right w:val="none" w:sz="0" w:space="0" w:color="auto"/>
      </w:divBdr>
    </w:div>
    <w:div w:id="722488844">
      <w:bodyDiv w:val="1"/>
      <w:marLeft w:val="0"/>
      <w:marRight w:val="0"/>
      <w:marTop w:val="0"/>
      <w:marBottom w:val="0"/>
      <w:divBdr>
        <w:top w:val="none" w:sz="0" w:space="0" w:color="auto"/>
        <w:left w:val="none" w:sz="0" w:space="0" w:color="auto"/>
        <w:bottom w:val="none" w:sz="0" w:space="0" w:color="auto"/>
        <w:right w:val="none" w:sz="0" w:space="0" w:color="auto"/>
      </w:divBdr>
    </w:div>
    <w:div w:id="728386424">
      <w:bodyDiv w:val="1"/>
      <w:marLeft w:val="0"/>
      <w:marRight w:val="0"/>
      <w:marTop w:val="0"/>
      <w:marBottom w:val="0"/>
      <w:divBdr>
        <w:top w:val="none" w:sz="0" w:space="0" w:color="auto"/>
        <w:left w:val="none" w:sz="0" w:space="0" w:color="auto"/>
        <w:bottom w:val="none" w:sz="0" w:space="0" w:color="auto"/>
        <w:right w:val="none" w:sz="0" w:space="0" w:color="auto"/>
      </w:divBdr>
    </w:div>
    <w:div w:id="734820338">
      <w:bodyDiv w:val="1"/>
      <w:marLeft w:val="0"/>
      <w:marRight w:val="0"/>
      <w:marTop w:val="0"/>
      <w:marBottom w:val="0"/>
      <w:divBdr>
        <w:top w:val="none" w:sz="0" w:space="0" w:color="auto"/>
        <w:left w:val="none" w:sz="0" w:space="0" w:color="auto"/>
        <w:bottom w:val="none" w:sz="0" w:space="0" w:color="auto"/>
        <w:right w:val="none" w:sz="0" w:space="0" w:color="auto"/>
      </w:divBdr>
    </w:div>
    <w:div w:id="829979298">
      <w:bodyDiv w:val="1"/>
      <w:marLeft w:val="0"/>
      <w:marRight w:val="0"/>
      <w:marTop w:val="0"/>
      <w:marBottom w:val="0"/>
      <w:divBdr>
        <w:top w:val="none" w:sz="0" w:space="0" w:color="auto"/>
        <w:left w:val="none" w:sz="0" w:space="0" w:color="auto"/>
        <w:bottom w:val="none" w:sz="0" w:space="0" w:color="auto"/>
        <w:right w:val="none" w:sz="0" w:space="0" w:color="auto"/>
      </w:divBdr>
    </w:div>
    <w:div w:id="918757763">
      <w:bodyDiv w:val="1"/>
      <w:marLeft w:val="0"/>
      <w:marRight w:val="0"/>
      <w:marTop w:val="0"/>
      <w:marBottom w:val="0"/>
      <w:divBdr>
        <w:top w:val="none" w:sz="0" w:space="0" w:color="auto"/>
        <w:left w:val="none" w:sz="0" w:space="0" w:color="auto"/>
        <w:bottom w:val="none" w:sz="0" w:space="0" w:color="auto"/>
        <w:right w:val="none" w:sz="0" w:space="0" w:color="auto"/>
      </w:divBdr>
    </w:div>
    <w:div w:id="1777558285">
      <w:bodyDiv w:val="1"/>
      <w:marLeft w:val="0"/>
      <w:marRight w:val="0"/>
      <w:marTop w:val="0"/>
      <w:marBottom w:val="0"/>
      <w:divBdr>
        <w:top w:val="none" w:sz="0" w:space="0" w:color="auto"/>
        <w:left w:val="none" w:sz="0" w:space="0" w:color="auto"/>
        <w:bottom w:val="none" w:sz="0" w:space="0" w:color="auto"/>
        <w:right w:val="none" w:sz="0" w:space="0" w:color="auto"/>
      </w:divBdr>
    </w:div>
    <w:div w:id="1810635529">
      <w:bodyDiv w:val="1"/>
      <w:marLeft w:val="0"/>
      <w:marRight w:val="0"/>
      <w:marTop w:val="0"/>
      <w:marBottom w:val="0"/>
      <w:divBdr>
        <w:top w:val="none" w:sz="0" w:space="0" w:color="auto"/>
        <w:left w:val="none" w:sz="0" w:space="0" w:color="auto"/>
        <w:bottom w:val="none" w:sz="0" w:space="0" w:color="auto"/>
        <w:right w:val="none" w:sz="0" w:space="0" w:color="auto"/>
      </w:divBdr>
    </w:div>
    <w:div w:id="1849517473">
      <w:bodyDiv w:val="1"/>
      <w:marLeft w:val="0"/>
      <w:marRight w:val="0"/>
      <w:marTop w:val="0"/>
      <w:marBottom w:val="0"/>
      <w:divBdr>
        <w:top w:val="none" w:sz="0" w:space="0" w:color="auto"/>
        <w:left w:val="none" w:sz="0" w:space="0" w:color="auto"/>
        <w:bottom w:val="none" w:sz="0" w:space="0" w:color="auto"/>
        <w:right w:val="none" w:sz="0" w:space="0" w:color="auto"/>
      </w:divBdr>
    </w:div>
    <w:div w:id="1861703800">
      <w:bodyDiv w:val="1"/>
      <w:marLeft w:val="0"/>
      <w:marRight w:val="0"/>
      <w:marTop w:val="0"/>
      <w:marBottom w:val="0"/>
      <w:divBdr>
        <w:top w:val="none" w:sz="0" w:space="0" w:color="auto"/>
        <w:left w:val="none" w:sz="0" w:space="0" w:color="auto"/>
        <w:bottom w:val="none" w:sz="0" w:space="0" w:color="auto"/>
        <w:right w:val="none" w:sz="0" w:space="0" w:color="auto"/>
      </w:divBdr>
    </w:div>
    <w:div w:id="1910727805">
      <w:bodyDiv w:val="1"/>
      <w:marLeft w:val="0"/>
      <w:marRight w:val="0"/>
      <w:marTop w:val="0"/>
      <w:marBottom w:val="0"/>
      <w:divBdr>
        <w:top w:val="none" w:sz="0" w:space="0" w:color="auto"/>
        <w:left w:val="none" w:sz="0" w:space="0" w:color="auto"/>
        <w:bottom w:val="none" w:sz="0" w:space="0" w:color="auto"/>
        <w:right w:val="none" w:sz="0" w:space="0" w:color="auto"/>
      </w:divBdr>
    </w:div>
    <w:div w:id="1934892494">
      <w:bodyDiv w:val="1"/>
      <w:marLeft w:val="0"/>
      <w:marRight w:val="0"/>
      <w:marTop w:val="0"/>
      <w:marBottom w:val="0"/>
      <w:divBdr>
        <w:top w:val="none" w:sz="0" w:space="0" w:color="auto"/>
        <w:left w:val="none" w:sz="0" w:space="0" w:color="auto"/>
        <w:bottom w:val="none" w:sz="0" w:space="0" w:color="auto"/>
        <w:right w:val="none" w:sz="0" w:space="0" w:color="auto"/>
      </w:divBdr>
    </w:div>
    <w:div w:id="19820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19.bin"/><Relationship Id="rId63" Type="http://schemas.openxmlformats.org/officeDocument/2006/relationships/image" Target="media/image25.wmf"/><Relationship Id="rId68"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hyperlink" Target="http://faostat.fao.org/" TargetMode="External"/><Relationship Id="rId66" Type="http://schemas.openxmlformats.org/officeDocument/2006/relationships/chart" Target="charts/chart3.xml"/><Relationship Id="rId5" Type="http://schemas.openxmlformats.org/officeDocument/2006/relationships/settings" Target="settings.xml"/><Relationship Id="rId61" Type="http://schemas.openxmlformats.org/officeDocument/2006/relationships/hyperlink" Target="http://www.stat.tj" TargetMode="External"/><Relationship Id="rId19" Type="http://schemas.openxmlformats.org/officeDocument/2006/relationships/image" Target="media/image6.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25.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hyperlink" Target="http://www.stat.uz" TargetMode="External"/><Relationship Id="rId67" Type="http://schemas.openxmlformats.org/officeDocument/2006/relationships/image" Target="media/image26.png"/><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3.wmf"/><Relationship Id="rId62" Type="http://schemas.openxmlformats.org/officeDocument/2006/relationships/hyperlink" Target="http://www.stat.kg"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chart" Target="charts/chart1.xml"/><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hyperlink" Target="http://www.stat.kz" TargetMode="External"/><Relationship Id="rId65"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3.bin"/></Relationships>
</file>

<file path=word/charts/_rels/chart1.xml.rels><?xml version="1.0" encoding="UTF-8" standalone="yes"?>
<Relationships xmlns="http://schemas.openxmlformats.org/package/2006/relationships"><Relationship Id="rId1" Type="http://schemas.openxmlformats.org/officeDocument/2006/relationships/oleObject" Target="file:///F:\Risk_Model_CA\R1\figures\fertilizer%20level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Risk_Model_CA\R1\figures_tables\Appendix%20b_INPUT%20pric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Risk_Model_CA\R1\figures_tables\Appendix%20A_Farm%20gate%20pric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Tabelle1!$A$3:$B$3</c:f>
              <c:strCache>
                <c:ptCount val="1"/>
                <c:pt idx="0">
                  <c:v>low  cotton</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Tabelle1!$C$3:$L$3</c:f>
              <c:numCache>
                <c:formatCode>General</c:formatCode>
                <c:ptCount val="10"/>
                <c:pt idx="0">
                  <c:v>100</c:v>
                </c:pt>
                <c:pt idx="1">
                  <c:v>100</c:v>
                </c:pt>
                <c:pt idx="2">
                  <c:v>100</c:v>
                </c:pt>
                <c:pt idx="3">
                  <c:v>120</c:v>
                </c:pt>
                <c:pt idx="4">
                  <c:v>0</c:v>
                </c:pt>
                <c:pt idx="5">
                  <c:v>100</c:v>
                </c:pt>
                <c:pt idx="6">
                  <c:v>115</c:v>
                </c:pt>
                <c:pt idx="7">
                  <c:v>0</c:v>
                </c:pt>
                <c:pt idx="8">
                  <c:v>118</c:v>
                </c:pt>
                <c:pt idx="9">
                  <c:v>118</c:v>
                </c:pt>
              </c:numCache>
            </c:numRef>
          </c:val>
        </c:ser>
        <c:ser>
          <c:idx val="1"/>
          <c:order val="1"/>
          <c:tx>
            <c:strRef>
              <c:f>Tabelle1!$A$4:$B$4</c:f>
              <c:strCache>
                <c:ptCount val="1"/>
                <c:pt idx="0">
                  <c:v>low  wheat</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Tabelle1!$C$4:$L$4</c:f>
              <c:numCache>
                <c:formatCode>General</c:formatCode>
                <c:ptCount val="10"/>
                <c:pt idx="0">
                  <c:v>60</c:v>
                </c:pt>
                <c:pt idx="1">
                  <c:v>0</c:v>
                </c:pt>
                <c:pt idx="2">
                  <c:v>0</c:v>
                </c:pt>
                <c:pt idx="3">
                  <c:v>80</c:v>
                </c:pt>
                <c:pt idx="4">
                  <c:v>0</c:v>
                </c:pt>
                <c:pt idx="5">
                  <c:v>30</c:v>
                </c:pt>
                <c:pt idx="6">
                  <c:v>0</c:v>
                </c:pt>
                <c:pt idx="7">
                  <c:v>30</c:v>
                </c:pt>
                <c:pt idx="8">
                  <c:v>70</c:v>
                </c:pt>
                <c:pt idx="9">
                  <c:v>80</c:v>
                </c:pt>
              </c:numCache>
            </c:numRef>
          </c:val>
        </c:ser>
        <c:ser>
          <c:idx val="2"/>
          <c:order val="2"/>
          <c:tx>
            <c:strRef>
              <c:f>Tabelle1!$A$5:$B$5</c:f>
              <c:strCache>
                <c:ptCount val="1"/>
                <c:pt idx="0">
                  <c:v>low  potatoe</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Tabelle1!$C$5:$L$5</c:f>
              <c:numCache>
                <c:formatCode>General</c:formatCode>
                <c:ptCount val="10"/>
                <c:pt idx="0">
                  <c:v>106</c:v>
                </c:pt>
                <c:pt idx="1">
                  <c:v>106</c:v>
                </c:pt>
                <c:pt idx="2">
                  <c:v>106</c:v>
                </c:pt>
                <c:pt idx="3">
                  <c:v>0</c:v>
                </c:pt>
                <c:pt idx="4">
                  <c:v>106</c:v>
                </c:pt>
                <c:pt idx="5">
                  <c:v>0</c:v>
                </c:pt>
                <c:pt idx="6">
                  <c:v>0</c:v>
                </c:pt>
                <c:pt idx="7">
                  <c:v>78</c:v>
                </c:pt>
                <c:pt idx="8">
                  <c:v>0</c:v>
                </c:pt>
                <c:pt idx="9">
                  <c:v>75</c:v>
                </c:pt>
              </c:numCache>
            </c:numRef>
          </c:val>
        </c:ser>
        <c:ser>
          <c:idx val="3"/>
          <c:order val="3"/>
          <c:tx>
            <c:strRef>
              <c:f>Tabelle1!$A$6:$B$6</c:f>
              <c:strCache>
                <c:ptCount val="1"/>
                <c:pt idx="0">
                  <c:v>average cotton</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Tabelle1!$C$6:$L$6</c:f>
              <c:numCache>
                <c:formatCode>General</c:formatCode>
                <c:ptCount val="10"/>
                <c:pt idx="0">
                  <c:v>100</c:v>
                </c:pt>
                <c:pt idx="1">
                  <c:v>100</c:v>
                </c:pt>
                <c:pt idx="2">
                  <c:v>100</c:v>
                </c:pt>
                <c:pt idx="3">
                  <c:v>100</c:v>
                </c:pt>
                <c:pt idx="4">
                  <c:v>0</c:v>
                </c:pt>
                <c:pt idx="5">
                  <c:v>100</c:v>
                </c:pt>
                <c:pt idx="6">
                  <c:v>115</c:v>
                </c:pt>
                <c:pt idx="7">
                  <c:v>0</c:v>
                </c:pt>
                <c:pt idx="8">
                  <c:v>118</c:v>
                </c:pt>
                <c:pt idx="9">
                  <c:v>118</c:v>
                </c:pt>
              </c:numCache>
            </c:numRef>
          </c:val>
        </c:ser>
        <c:ser>
          <c:idx val="4"/>
          <c:order val="4"/>
          <c:tx>
            <c:strRef>
              <c:f>Tabelle1!$A$7:$B$7</c:f>
              <c:strCache>
                <c:ptCount val="1"/>
                <c:pt idx="0">
                  <c:v>average wheat</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Tabelle1!$C$7:$L$7</c:f>
              <c:numCache>
                <c:formatCode>General</c:formatCode>
                <c:ptCount val="10"/>
                <c:pt idx="0">
                  <c:v>90</c:v>
                </c:pt>
                <c:pt idx="1">
                  <c:v>25</c:v>
                </c:pt>
                <c:pt idx="2">
                  <c:v>25</c:v>
                </c:pt>
                <c:pt idx="3">
                  <c:v>110</c:v>
                </c:pt>
                <c:pt idx="4">
                  <c:v>50</c:v>
                </c:pt>
                <c:pt idx="5">
                  <c:v>85</c:v>
                </c:pt>
                <c:pt idx="6">
                  <c:v>30</c:v>
                </c:pt>
                <c:pt idx="7">
                  <c:v>85</c:v>
                </c:pt>
                <c:pt idx="8">
                  <c:v>120</c:v>
                </c:pt>
                <c:pt idx="9">
                  <c:v>110</c:v>
                </c:pt>
              </c:numCache>
            </c:numRef>
          </c:val>
        </c:ser>
        <c:ser>
          <c:idx val="5"/>
          <c:order val="5"/>
          <c:tx>
            <c:strRef>
              <c:f>Tabelle1!$A$8:$B$8</c:f>
              <c:strCache>
                <c:ptCount val="1"/>
                <c:pt idx="0">
                  <c:v>average potatoe</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Tabelle1!$C$8:$L$8</c:f>
              <c:numCache>
                <c:formatCode>General</c:formatCode>
                <c:ptCount val="10"/>
                <c:pt idx="0">
                  <c:v>106</c:v>
                </c:pt>
                <c:pt idx="1">
                  <c:v>106</c:v>
                </c:pt>
                <c:pt idx="2">
                  <c:v>106</c:v>
                </c:pt>
                <c:pt idx="3">
                  <c:v>0</c:v>
                </c:pt>
                <c:pt idx="4">
                  <c:v>106</c:v>
                </c:pt>
                <c:pt idx="5">
                  <c:v>0</c:v>
                </c:pt>
                <c:pt idx="6">
                  <c:v>0</c:v>
                </c:pt>
                <c:pt idx="7">
                  <c:v>0</c:v>
                </c:pt>
                <c:pt idx="8">
                  <c:v>0</c:v>
                </c:pt>
                <c:pt idx="9">
                  <c:v>0</c:v>
                </c:pt>
              </c:numCache>
            </c:numRef>
          </c:val>
        </c:ser>
        <c:ser>
          <c:idx val="6"/>
          <c:order val="6"/>
          <c:tx>
            <c:strRef>
              <c:f>Tabelle1!$A$9:$B$9</c:f>
              <c:strCache>
                <c:ptCount val="1"/>
                <c:pt idx="0">
                  <c:v>high  cotton</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Tabelle1!$C$9:$L$9</c:f>
              <c:numCache>
                <c:formatCode>General</c:formatCode>
                <c:ptCount val="10"/>
                <c:pt idx="0">
                  <c:v>150</c:v>
                </c:pt>
                <c:pt idx="1">
                  <c:v>150</c:v>
                </c:pt>
                <c:pt idx="2">
                  <c:v>150</c:v>
                </c:pt>
                <c:pt idx="3">
                  <c:v>180</c:v>
                </c:pt>
                <c:pt idx="4">
                  <c:v>0</c:v>
                </c:pt>
                <c:pt idx="5">
                  <c:v>150</c:v>
                </c:pt>
                <c:pt idx="6">
                  <c:v>172.5</c:v>
                </c:pt>
                <c:pt idx="7">
                  <c:v>0</c:v>
                </c:pt>
                <c:pt idx="8">
                  <c:v>177</c:v>
                </c:pt>
                <c:pt idx="9">
                  <c:v>177</c:v>
                </c:pt>
              </c:numCache>
            </c:numRef>
          </c:val>
        </c:ser>
        <c:ser>
          <c:idx val="7"/>
          <c:order val="7"/>
          <c:tx>
            <c:strRef>
              <c:f>Tabelle1!$A$10:$B$10</c:f>
              <c:strCache>
                <c:ptCount val="1"/>
                <c:pt idx="0">
                  <c:v>high  wheat</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Tabelle1!$C$10:$L$10</c:f>
              <c:numCache>
                <c:formatCode>General</c:formatCode>
                <c:ptCount val="10"/>
                <c:pt idx="0">
                  <c:v>140</c:v>
                </c:pt>
                <c:pt idx="1">
                  <c:v>50</c:v>
                </c:pt>
                <c:pt idx="2">
                  <c:v>50</c:v>
                </c:pt>
                <c:pt idx="3">
                  <c:v>140</c:v>
                </c:pt>
                <c:pt idx="4">
                  <c:v>100</c:v>
                </c:pt>
                <c:pt idx="5">
                  <c:v>180</c:v>
                </c:pt>
                <c:pt idx="6">
                  <c:v>60</c:v>
                </c:pt>
                <c:pt idx="7">
                  <c:v>180</c:v>
                </c:pt>
                <c:pt idx="8">
                  <c:v>170</c:v>
                </c:pt>
                <c:pt idx="9">
                  <c:v>140</c:v>
                </c:pt>
              </c:numCache>
            </c:numRef>
          </c:val>
        </c:ser>
        <c:ser>
          <c:idx val="8"/>
          <c:order val="8"/>
          <c:tx>
            <c:strRef>
              <c:f>Tabelle1!$A$11:$B$11</c:f>
              <c:strCache>
                <c:ptCount val="1"/>
                <c:pt idx="0">
                  <c:v>high  potatoe</c:v>
                </c:pt>
              </c:strCache>
            </c:strRef>
          </c:tx>
          <c:invertIfNegative val="0"/>
          <c:cat>
            <c:multiLvlStrRef>
              <c:f>Tabelle1!$C$1:$L$2</c:f>
              <c:multiLvlStrCache>
                <c:ptCount val="10"/>
                <c:lvl>
                  <c:pt idx="0">
                    <c:v>arid</c:v>
                  </c:pt>
                  <c:pt idx="1">
                    <c:v>semiarid</c:v>
                  </c:pt>
                  <c:pt idx="2">
                    <c:v>subhumid</c:v>
                  </c:pt>
                  <c:pt idx="3">
                    <c:v>semiarid</c:v>
                  </c:pt>
                  <c:pt idx="4">
                    <c:v>subhumid</c:v>
                  </c:pt>
                  <c:pt idx="5">
                    <c:v>arid</c:v>
                  </c:pt>
                  <c:pt idx="6">
                    <c:v>semiarid</c:v>
                  </c:pt>
                  <c:pt idx="7">
                    <c:v>humid</c:v>
                  </c:pt>
                  <c:pt idx="8">
                    <c:v>arid</c:v>
                  </c:pt>
                  <c:pt idx="9">
                    <c:v>semiarid</c:v>
                  </c:pt>
                </c:lvl>
                <c:lvl>
                  <c:pt idx="0">
                    <c:v>Kazakhstan </c:v>
                  </c:pt>
                  <c:pt idx="3">
                    <c:v>Kyrgyzstan </c:v>
                  </c:pt>
                  <c:pt idx="5">
                    <c:v>Tajikistan </c:v>
                  </c:pt>
                  <c:pt idx="8">
                    <c:v>Uzbekistan </c:v>
                  </c:pt>
                </c:lvl>
              </c:multiLvlStrCache>
            </c:multiLvlStrRef>
          </c:cat>
          <c:val>
            <c:numRef>
              <c:f>Tabelle1!$C$11:$L$11</c:f>
              <c:numCache>
                <c:formatCode>General</c:formatCode>
                <c:ptCount val="10"/>
                <c:pt idx="0">
                  <c:v>0</c:v>
                </c:pt>
                <c:pt idx="1">
                  <c:v>0</c:v>
                </c:pt>
                <c:pt idx="2">
                  <c:v>0</c:v>
                </c:pt>
                <c:pt idx="3">
                  <c:v>0</c:v>
                </c:pt>
                <c:pt idx="4">
                  <c:v>106</c:v>
                </c:pt>
                <c:pt idx="5">
                  <c:v>0</c:v>
                </c:pt>
                <c:pt idx="6">
                  <c:v>0</c:v>
                </c:pt>
                <c:pt idx="7">
                  <c:v>0</c:v>
                </c:pt>
                <c:pt idx="8">
                  <c:v>0</c:v>
                </c:pt>
                <c:pt idx="9">
                  <c:v>0</c:v>
                </c:pt>
              </c:numCache>
            </c:numRef>
          </c:val>
        </c:ser>
        <c:dLbls>
          <c:showLegendKey val="0"/>
          <c:showVal val="0"/>
          <c:showCatName val="0"/>
          <c:showSerName val="0"/>
          <c:showPercent val="0"/>
          <c:showBubbleSize val="0"/>
        </c:dLbls>
        <c:gapWidth val="150"/>
        <c:axId val="37504000"/>
        <c:axId val="43074112"/>
      </c:barChart>
      <c:catAx>
        <c:axId val="37504000"/>
        <c:scaling>
          <c:orientation val="minMax"/>
        </c:scaling>
        <c:delete val="0"/>
        <c:axPos val="b"/>
        <c:majorTickMark val="out"/>
        <c:minorTickMark val="none"/>
        <c:tickLblPos val="nextTo"/>
        <c:crossAx val="43074112"/>
        <c:crosses val="autoZero"/>
        <c:auto val="1"/>
        <c:lblAlgn val="ctr"/>
        <c:lblOffset val="100"/>
        <c:noMultiLvlLbl val="0"/>
      </c:catAx>
      <c:valAx>
        <c:axId val="43074112"/>
        <c:scaling>
          <c:orientation val="minMax"/>
        </c:scaling>
        <c:delete val="0"/>
        <c:axPos val="l"/>
        <c:majorGridlines/>
        <c:title>
          <c:tx>
            <c:rich>
              <a:bodyPr rot="-5400000" vert="horz"/>
              <a:lstStyle/>
              <a:p>
                <a:pPr>
                  <a:defRPr b="0"/>
                </a:pPr>
                <a:r>
                  <a:rPr lang="de-DE" b="0"/>
                  <a:t>kg ha</a:t>
                </a:r>
                <a:r>
                  <a:rPr lang="de-DE" b="0" baseline="30000"/>
                  <a:t>-1</a:t>
                </a:r>
              </a:p>
            </c:rich>
          </c:tx>
          <c:overlay val="0"/>
        </c:title>
        <c:numFmt formatCode="General" sourceLinked="1"/>
        <c:majorTickMark val="out"/>
        <c:minorTickMark val="none"/>
        <c:tickLblPos val="nextTo"/>
        <c:crossAx val="3750400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rgbClr val="C00000"/>
              </a:solidFill>
            </c:spPr>
          </c:dPt>
          <c:dPt>
            <c:idx val="1"/>
            <c:invertIfNegative val="0"/>
            <c:bubble3D val="0"/>
            <c:spPr>
              <a:solidFill>
                <a:srgbClr val="FFFF00"/>
              </a:solidFill>
            </c:spPr>
          </c:dPt>
          <c:dPt>
            <c:idx val="2"/>
            <c:invertIfNegative val="0"/>
            <c:bubble3D val="0"/>
            <c:spPr>
              <a:solidFill>
                <a:srgbClr val="FFC000"/>
              </a:solidFill>
            </c:spPr>
          </c:dPt>
          <c:dPt>
            <c:idx val="3"/>
            <c:invertIfNegative val="0"/>
            <c:bubble3D val="0"/>
          </c:dPt>
          <c:dPt>
            <c:idx val="4"/>
            <c:invertIfNegative val="0"/>
            <c:bubble3D val="0"/>
            <c:spPr>
              <a:solidFill>
                <a:srgbClr val="C00000"/>
              </a:solidFill>
            </c:spPr>
          </c:dPt>
          <c:dPt>
            <c:idx val="5"/>
            <c:invertIfNegative val="0"/>
            <c:bubble3D val="0"/>
            <c:spPr>
              <a:solidFill>
                <a:srgbClr val="FFC000"/>
              </a:solidFill>
            </c:spPr>
          </c:dPt>
          <c:dPt>
            <c:idx val="6"/>
            <c:invertIfNegative val="0"/>
            <c:bubble3D val="0"/>
          </c:dPt>
          <c:dPt>
            <c:idx val="7"/>
            <c:invertIfNegative val="0"/>
            <c:bubble3D val="0"/>
            <c:spPr>
              <a:solidFill>
                <a:srgbClr val="C00000"/>
              </a:solidFill>
            </c:spPr>
          </c:dPt>
          <c:dPt>
            <c:idx val="8"/>
            <c:invertIfNegative val="0"/>
            <c:bubble3D val="0"/>
            <c:spPr>
              <a:solidFill>
                <a:srgbClr val="FFC000"/>
              </a:solidFill>
            </c:spPr>
          </c:dPt>
          <c:dPt>
            <c:idx val="9"/>
            <c:invertIfNegative val="0"/>
            <c:bubble3D val="0"/>
          </c:dPt>
          <c:dPt>
            <c:idx val="10"/>
            <c:invertIfNegative val="0"/>
            <c:bubble3D val="0"/>
            <c:spPr>
              <a:solidFill>
                <a:srgbClr val="FFFF00"/>
              </a:solidFill>
            </c:spPr>
          </c:dPt>
          <c:dPt>
            <c:idx val="11"/>
            <c:invertIfNegative val="0"/>
            <c:bubble3D val="0"/>
            <c:spPr>
              <a:solidFill>
                <a:srgbClr val="FFC000"/>
              </a:solidFill>
            </c:spPr>
          </c:dPt>
          <c:dPt>
            <c:idx val="12"/>
            <c:invertIfNegative val="0"/>
            <c:bubble3D val="0"/>
          </c:dPt>
          <c:dPt>
            <c:idx val="13"/>
            <c:invertIfNegative val="0"/>
            <c:bubble3D val="0"/>
            <c:spPr>
              <a:solidFill>
                <a:srgbClr val="C00000"/>
              </a:solidFill>
            </c:spPr>
          </c:dPt>
          <c:dPt>
            <c:idx val="15"/>
            <c:invertIfNegative val="0"/>
            <c:bubble3D val="0"/>
            <c:spPr>
              <a:solidFill>
                <a:srgbClr val="FFC000"/>
              </a:solidFill>
            </c:spPr>
          </c:dPt>
          <c:dPt>
            <c:idx val="16"/>
            <c:invertIfNegative val="0"/>
            <c:bubble3D val="0"/>
          </c:dPt>
          <c:dLbls>
            <c:delete val="1"/>
          </c:dLbls>
          <c:cat>
            <c:multiLvlStrRef>
              <c:f>Tabelle1!$A$16:$B$32</c:f>
              <c:multiLvlStrCache>
                <c:ptCount val="17"/>
                <c:lvl>
                  <c:pt idx="0">
                    <c:v>Kazakhstan</c:v>
                  </c:pt>
                  <c:pt idx="1">
                    <c:v>Kyrgyzstan</c:v>
                  </c:pt>
                  <c:pt idx="2">
                    <c:v>Tajikistan</c:v>
                  </c:pt>
                  <c:pt idx="3">
                    <c:v>Uzbekistan</c:v>
                  </c:pt>
                  <c:pt idx="4">
                    <c:v>Kazakhstan</c:v>
                  </c:pt>
                  <c:pt idx="5">
                    <c:v>Tajikistan</c:v>
                  </c:pt>
                  <c:pt idx="6">
                    <c:v>Uzbekistan</c:v>
                  </c:pt>
                  <c:pt idx="7">
                    <c:v>Kazakhstan</c:v>
                  </c:pt>
                  <c:pt idx="8">
                    <c:v>Tajikistan</c:v>
                  </c:pt>
                  <c:pt idx="9">
                    <c:v>Uzbekistan</c:v>
                  </c:pt>
                  <c:pt idx="10">
                    <c:v>Kyrgyzstan</c:v>
                  </c:pt>
                  <c:pt idx="11">
                    <c:v>Tajikistan</c:v>
                  </c:pt>
                  <c:pt idx="12">
                    <c:v>Uzbekistan</c:v>
                  </c:pt>
                  <c:pt idx="13">
                    <c:v>Kazakhstan</c:v>
                  </c:pt>
                  <c:pt idx="14">
                    <c:v>Kyrgyzstan</c:v>
                  </c:pt>
                  <c:pt idx="15">
                    <c:v>Tajikistan</c:v>
                  </c:pt>
                  <c:pt idx="16">
                    <c:v>Uzbekistan</c:v>
                  </c:pt>
                </c:lvl>
                <c:lvl>
                  <c:pt idx="0">
                    <c:v>fuel </c:v>
                  </c:pt>
                  <c:pt idx="4">
                    <c:v>ammafos</c:v>
                  </c:pt>
                  <c:pt idx="7">
                    <c:v>nirate</c:v>
                  </c:pt>
                  <c:pt idx="10">
                    <c:v>wheat seed</c:v>
                  </c:pt>
                  <c:pt idx="13">
                    <c:v>potatoes seed</c:v>
                  </c:pt>
                </c:lvl>
              </c:multiLvlStrCache>
            </c:multiLvlStrRef>
          </c:cat>
          <c:val>
            <c:numRef>
              <c:f>Tabelle1!$C$16:$C$32</c:f>
              <c:numCache>
                <c:formatCode>0.00</c:formatCode>
                <c:ptCount val="17"/>
                <c:pt idx="0">
                  <c:v>0.42465750000000002</c:v>
                </c:pt>
                <c:pt idx="1">
                  <c:v>0.61702129999999999</c:v>
                </c:pt>
                <c:pt idx="2">
                  <c:v>0.89887640000000002</c:v>
                </c:pt>
                <c:pt idx="3">
                  <c:v>0.65565560000000001</c:v>
                </c:pt>
                <c:pt idx="4">
                  <c:v>0.34246579999999999</c:v>
                </c:pt>
                <c:pt idx="5">
                  <c:v>0.44943820000000001</c:v>
                </c:pt>
                <c:pt idx="6">
                  <c:v>0.35763030000000001</c:v>
                </c:pt>
                <c:pt idx="7">
                  <c:v>0.22602739999999999</c:v>
                </c:pt>
                <c:pt idx="8">
                  <c:v>0.44943820000000001</c:v>
                </c:pt>
                <c:pt idx="9">
                  <c:v>0.29802529999999999</c:v>
                </c:pt>
                <c:pt idx="10">
                  <c:v>0.25531910000000002</c:v>
                </c:pt>
                <c:pt idx="11">
                  <c:v>0.25842700000000002</c:v>
                </c:pt>
                <c:pt idx="12">
                  <c:v>0.2384202</c:v>
                </c:pt>
                <c:pt idx="13">
                  <c:v>0.41095890000000002</c:v>
                </c:pt>
                <c:pt idx="15">
                  <c:v>0.33707870000000001</c:v>
                </c:pt>
                <c:pt idx="16">
                  <c:v>1.3113109999999999</c:v>
                </c:pt>
              </c:numCache>
            </c:numRef>
          </c:val>
        </c:ser>
        <c:dLbls>
          <c:showLegendKey val="0"/>
          <c:showVal val="1"/>
          <c:showCatName val="0"/>
          <c:showSerName val="0"/>
          <c:showPercent val="0"/>
          <c:showBubbleSize val="0"/>
        </c:dLbls>
        <c:gapWidth val="75"/>
        <c:axId val="37330944"/>
        <c:axId val="43075840"/>
      </c:barChart>
      <c:catAx>
        <c:axId val="37330944"/>
        <c:scaling>
          <c:orientation val="minMax"/>
        </c:scaling>
        <c:delete val="0"/>
        <c:axPos val="b"/>
        <c:majorTickMark val="none"/>
        <c:minorTickMark val="none"/>
        <c:tickLblPos val="nextTo"/>
        <c:crossAx val="43075840"/>
        <c:crosses val="autoZero"/>
        <c:auto val="1"/>
        <c:lblAlgn val="ctr"/>
        <c:lblOffset val="100"/>
        <c:noMultiLvlLbl val="0"/>
      </c:catAx>
      <c:valAx>
        <c:axId val="43075840"/>
        <c:scaling>
          <c:orientation val="minMax"/>
        </c:scaling>
        <c:delete val="0"/>
        <c:axPos val="l"/>
        <c:title>
          <c:tx>
            <c:rich>
              <a:bodyPr rot="-5400000" vert="horz"/>
              <a:lstStyle/>
              <a:p>
                <a:pPr>
                  <a:defRPr/>
                </a:pPr>
                <a:r>
                  <a:rPr lang="de-DE"/>
                  <a:t>USD kg-1</a:t>
                </a:r>
              </a:p>
            </c:rich>
          </c:tx>
          <c:overlay val="0"/>
        </c:title>
        <c:numFmt formatCode="0.00" sourceLinked="1"/>
        <c:majorTickMark val="none"/>
        <c:minorTickMark val="none"/>
        <c:tickLblPos val="nextTo"/>
        <c:crossAx val="3733094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rgbClr val="C00000"/>
              </a:solidFill>
            </c:spPr>
          </c:dPt>
          <c:dPt>
            <c:idx val="1"/>
            <c:invertIfNegative val="0"/>
            <c:bubble3D val="0"/>
            <c:spPr>
              <a:solidFill>
                <a:srgbClr val="FFC000"/>
              </a:solidFill>
            </c:spPr>
          </c:dPt>
          <c:dPt>
            <c:idx val="2"/>
            <c:invertIfNegative val="0"/>
            <c:bubble3D val="0"/>
            <c:spPr>
              <a:solidFill>
                <a:srgbClr val="0070C0"/>
              </a:solidFill>
            </c:spPr>
          </c:dPt>
          <c:dPt>
            <c:idx val="3"/>
            <c:invertIfNegative val="0"/>
            <c:bubble3D val="0"/>
            <c:spPr>
              <a:solidFill>
                <a:srgbClr val="FFFF00"/>
              </a:solidFill>
            </c:spPr>
          </c:dPt>
          <c:dPt>
            <c:idx val="4"/>
            <c:invertIfNegative val="0"/>
            <c:bubble3D val="0"/>
            <c:spPr>
              <a:solidFill>
                <a:srgbClr val="FFC000"/>
              </a:solidFill>
            </c:spPr>
          </c:dPt>
          <c:dPt>
            <c:idx val="5"/>
            <c:invertIfNegative val="0"/>
            <c:bubble3D val="0"/>
            <c:spPr>
              <a:solidFill>
                <a:srgbClr val="0070C0"/>
              </a:solidFill>
            </c:spPr>
          </c:dPt>
          <c:dPt>
            <c:idx val="6"/>
            <c:invertIfNegative val="0"/>
            <c:bubble3D val="0"/>
            <c:spPr>
              <a:solidFill>
                <a:srgbClr val="C00000"/>
              </a:solidFill>
            </c:spPr>
          </c:dPt>
          <c:dPt>
            <c:idx val="7"/>
            <c:invertIfNegative val="0"/>
            <c:bubble3D val="0"/>
            <c:spPr>
              <a:solidFill>
                <a:srgbClr val="FFFF00"/>
              </a:solidFill>
            </c:spPr>
          </c:dPt>
          <c:dPt>
            <c:idx val="8"/>
            <c:invertIfNegative val="0"/>
            <c:bubble3D val="0"/>
            <c:spPr>
              <a:solidFill>
                <a:srgbClr val="FFC000"/>
              </a:solidFill>
            </c:spPr>
          </c:dPt>
          <c:dPt>
            <c:idx val="9"/>
            <c:invertIfNegative val="0"/>
            <c:bubble3D val="0"/>
            <c:spPr>
              <a:solidFill>
                <a:srgbClr val="0070C0"/>
              </a:solidFill>
            </c:spPr>
          </c:dPt>
          <c:cat>
            <c:multiLvlStrRef>
              <c:f>Tabelle3!$B$45:$C$54</c:f>
              <c:multiLvlStrCache>
                <c:ptCount val="10"/>
                <c:lvl>
                  <c:pt idx="0">
                    <c:v>Kazakhstan</c:v>
                  </c:pt>
                  <c:pt idx="1">
                    <c:v>Tajikistan</c:v>
                  </c:pt>
                  <c:pt idx="2">
                    <c:v>Uzbekistan</c:v>
                  </c:pt>
                  <c:pt idx="3">
                    <c:v>Kyrgyzstan</c:v>
                  </c:pt>
                  <c:pt idx="4">
                    <c:v>Tajikistan</c:v>
                  </c:pt>
                  <c:pt idx="5">
                    <c:v>Uzbekistan</c:v>
                  </c:pt>
                  <c:pt idx="6">
                    <c:v>Kazakhstan</c:v>
                  </c:pt>
                  <c:pt idx="7">
                    <c:v>Kyrgyzstan</c:v>
                  </c:pt>
                  <c:pt idx="8">
                    <c:v>Tajikistan</c:v>
                  </c:pt>
                  <c:pt idx="9">
                    <c:v>Uzbekistan</c:v>
                  </c:pt>
                </c:lvl>
                <c:lvl>
                  <c:pt idx="0">
                    <c:v>cotton</c:v>
                  </c:pt>
                  <c:pt idx="3">
                    <c:v>potatoes</c:v>
                  </c:pt>
                  <c:pt idx="6">
                    <c:v>wheat</c:v>
                  </c:pt>
                </c:lvl>
              </c:multiLvlStrCache>
            </c:multiLvlStrRef>
          </c:cat>
          <c:val>
            <c:numRef>
              <c:f>Tabelle3!$D$45:$D$54</c:f>
              <c:numCache>
                <c:formatCode>0.00</c:formatCode>
                <c:ptCount val="10"/>
                <c:pt idx="0">
                  <c:v>0.68498999999999999</c:v>
                </c:pt>
                <c:pt idx="1">
                  <c:v>0.41001599999999999</c:v>
                </c:pt>
                <c:pt idx="2">
                  <c:v>0.34562999999999999</c:v>
                </c:pt>
                <c:pt idx="3">
                  <c:v>0.26428600000000002</c:v>
                </c:pt>
                <c:pt idx="4">
                  <c:v>0.23058400000000001</c:v>
                </c:pt>
                <c:pt idx="5">
                  <c:v>0.294738</c:v>
                </c:pt>
                <c:pt idx="6">
                  <c:v>0.191579</c:v>
                </c:pt>
                <c:pt idx="7">
                  <c:v>0.20149800000000001</c:v>
                </c:pt>
                <c:pt idx="8">
                  <c:v>0.25035600000000002</c:v>
                </c:pt>
                <c:pt idx="9">
                  <c:v>0.16200100000000001</c:v>
                </c:pt>
              </c:numCache>
            </c:numRef>
          </c:val>
        </c:ser>
        <c:dLbls>
          <c:showLegendKey val="0"/>
          <c:showVal val="0"/>
          <c:showCatName val="0"/>
          <c:showSerName val="0"/>
          <c:showPercent val="0"/>
          <c:showBubbleSize val="0"/>
        </c:dLbls>
        <c:gapWidth val="150"/>
        <c:axId val="44941312"/>
        <c:axId val="43076992"/>
      </c:barChart>
      <c:catAx>
        <c:axId val="44941312"/>
        <c:scaling>
          <c:orientation val="minMax"/>
        </c:scaling>
        <c:delete val="0"/>
        <c:axPos val="b"/>
        <c:majorTickMark val="out"/>
        <c:minorTickMark val="none"/>
        <c:tickLblPos val="nextTo"/>
        <c:crossAx val="43076992"/>
        <c:crosses val="autoZero"/>
        <c:auto val="1"/>
        <c:lblAlgn val="ctr"/>
        <c:lblOffset val="100"/>
        <c:noMultiLvlLbl val="0"/>
      </c:catAx>
      <c:valAx>
        <c:axId val="43076992"/>
        <c:scaling>
          <c:orientation val="minMax"/>
        </c:scaling>
        <c:delete val="0"/>
        <c:axPos val="l"/>
        <c:majorGridlines/>
        <c:title>
          <c:tx>
            <c:rich>
              <a:bodyPr rot="-5400000" vert="horz"/>
              <a:lstStyle/>
              <a:p>
                <a:pPr>
                  <a:defRPr/>
                </a:pPr>
                <a:r>
                  <a:rPr lang="de-DE"/>
                  <a:t>USD</a:t>
                </a:r>
                <a:r>
                  <a:rPr lang="de-DE" baseline="0"/>
                  <a:t> kg</a:t>
                </a:r>
                <a:r>
                  <a:rPr lang="de-DE" baseline="30000"/>
                  <a:t>-1</a:t>
                </a:r>
              </a:p>
            </c:rich>
          </c:tx>
          <c:overlay val="0"/>
        </c:title>
        <c:numFmt formatCode="0.00" sourceLinked="1"/>
        <c:majorTickMark val="out"/>
        <c:minorTickMark val="none"/>
        <c:tickLblPos val="nextTo"/>
        <c:crossAx val="4494131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CF3F-2C2B-4DA8-9809-64EB7722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4354</Words>
  <Characters>27431</Characters>
  <Application>Microsoft Office Word</Application>
  <DocSecurity>4</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Computeruser</dc:creator>
  <cp:lastModifiedBy>Christian Drondorf</cp:lastModifiedBy>
  <cp:revision>2</cp:revision>
  <dcterms:created xsi:type="dcterms:W3CDTF">2017-11-21T12:03:00Z</dcterms:created>
  <dcterms:modified xsi:type="dcterms:W3CDTF">2017-11-21T12:03:00Z</dcterms:modified>
</cp:coreProperties>
</file>