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A877D" w14:textId="3FA811C6" w:rsidR="00222085" w:rsidRDefault="00657AC4">
      <w:pPr>
        <w:rPr>
          <w:lang w:val="en-US"/>
        </w:rPr>
      </w:pPr>
      <w:r>
        <w:rPr>
          <w:lang w:val="en-US"/>
        </w:rPr>
        <w:t xml:space="preserve">The </w:t>
      </w:r>
      <w:r w:rsidR="009B5285">
        <w:rPr>
          <w:lang w:val="en-US"/>
        </w:rPr>
        <w:t xml:space="preserve">model </w:t>
      </w:r>
      <w:bookmarkStart w:id="0" w:name="_GoBack"/>
      <w:bookmarkEnd w:id="0"/>
      <w:r>
        <w:rPr>
          <w:lang w:val="en-US"/>
        </w:rPr>
        <w:t>codes that replicate “The Importance of Hiring Frictions in Business Cycles” have been executed using Matlab2018b</w:t>
      </w:r>
      <w:r w:rsidR="00BE5467">
        <w:rPr>
          <w:lang w:val="en-US"/>
        </w:rPr>
        <w:t xml:space="preserve">, a complete set of </w:t>
      </w:r>
      <w:proofErr w:type="spellStart"/>
      <w:r w:rsidR="00BE5467">
        <w:rPr>
          <w:lang w:val="en-US"/>
        </w:rPr>
        <w:t>Matlab</w:t>
      </w:r>
      <w:proofErr w:type="spellEnd"/>
      <w:r w:rsidR="00BE5467">
        <w:rPr>
          <w:lang w:val="en-US"/>
        </w:rPr>
        <w:t xml:space="preserve"> toolbox</w:t>
      </w:r>
      <w:r w:rsidR="00E06030">
        <w:rPr>
          <w:lang w:val="en-US"/>
        </w:rPr>
        <w:t>es,</w:t>
      </w:r>
      <w:r>
        <w:rPr>
          <w:lang w:val="en-US"/>
        </w:rPr>
        <w:t xml:space="preserve"> and </w:t>
      </w:r>
      <w:proofErr w:type="spellStart"/>
      <w:r>
        <w:rPr>
          <w:lang w:val="en-US"/>
        </w:rPr>
        <w:t>Dynare</w:t>
      </w:r>
      <w:proofErr w:type="spellEnd"/>
      <w:r>
        <w:rPr>
          <w:lang w:val="en-US"/>
        </w:rPr>
        <w:t xml:space="preserve"> version 4.5.7</w:t>
      </w:r>
      <w:r w:rsidR="002E3AFE">
        <w:rPr>
          <w:lang w:val="en-US"/>
        </w:rPr>
        <w:t xml:space="preserve">. </w:t>
      </w:r>
    </w:p>
    <w:p w14:paraId="755379CF" w14:textId="37FF3C37" w:rsidR="00657AC4" w:rsidRDefault="004A115D">
      <w:pPr>
        <w:rPr>
          <w:lang w:val="en-US"/>
        </w:rPr>
      </w:pPr>
      <w:r>
        <w:rPr>
          <w:lang w:val="en-US"/>
        </w:rPr>
        <w:t xml:space="preserve">Details of the </w:t>
      </w:r>
      <w:r w:rsidR="002E3AFE">
        <w:rPr>
          <w:lang w:val="en-US"/>
        </w:rPr>
        <w:t>CPU</w:t>
      </w:r>
      <w:r>
        <w:rPr>
          <w:lang w:val="en-US"/>
        </w:rPr>
        <w:t xml:space="preserve"> used for replicating the files:</w:t>
      </w:r>
      <w:r w:rsidR="002E3AFE">
        <w:rPr>
          <w:lang w:val="en-US"/>
        </w:rPr>
        <w:t xml:space="preserve"> </w:t>
      </w:r>
      <w:r w:rsidR="002E3AFE" w:rsidRPr="002E3AFE">
        <w:rPr>
          <w:lang w:val="en-US"/>
        </w:rPr>
        <w:t xml:space="preserve">Intel(R) </w:t>
      </w:r>
      <w:proofErr w:type="gramStart"/>
      <w:r w:rsidR="002E3AFE" w:rsidRPr="002E3AFE">
        <w:rPr>
          <w:lang w:val="en-US"/>
        </w:rPr>
        <w:t>Core(</w:t>
      </w:r>
      <w:proofErr w:type="gramEnd"/>
      <w:r w:rsidR="002E3AFE" w:rsidRPr="002E3AFE">
        <w:rPr>
          <w:lang w:val="en-US"/>
        </w:rPr>
        <w:t>TM) i7-10510U CPU @ 1.80GHz   2.30 GHz</w:t>
      </w:r>
    </w:p>
    <w:p w14:paraId="078940D3" w14:textId="74B26835" w:rsidR="00657AC4" w:rsidRDefault="00657AC4">
      <w:pPr>
        <w:rPr>
          <w:lang w:val="en-US"/>
        </w:rPr>
      </w:pPr>
      <w:r>
        <w:rPr>
          <w:lang w:val="en-US"/>
        </w:rPr>
        <w:t xml:space="preserve">The calibration targets in </w:t>
      </w:r>
      <w:r w:rsidR="001E27EC">
        <w:rPr>
          <w:lang w:val="en-US"/>
        </w:rPr>
        <w:t xml:space="preserve">Panel B of </w:t>
      </w:r>
      <w:r>
        <w:rPr>
          <w:lang w:val="en-US"/>
        </w:rPr>
        <w:t xml:space="preserve">Table </w:t>
      </w:r>
      <w:r w:rsidR="001E27EC">
        <w:rPr>
          <w:lang w:val="en-US"/>
        </w:rPr>
        <w:t>3</w:t>
      </w:r>
      <w:r>
        <w:rPr>
          <w:lang w:val="en-US"/>
        </w:rPr>
        <w:t xml:space="preserve"> can be obtained by running the file “</w:t>
      </w:r>
      <w:r w:rsidR="00D26E25">
        <w:rPr>
          <w:lang w:val="en-US"/>
        </w:rPr>
        <w:t>Table3</w:t>
      </w:r>
      <w:r>
        <w:rPr>
          <w:lang w:val="en-US"/>
        </w:rPr>
        <w:t>calibration.m” in the folder “Simple model”.</w:t>
      </w:r>
    </w:p>
    <w:p w14:paraId="4BEEF876" w14:textId="193504F5" w:rsidR="00657AC4" w:rsidRDefault="00657AC4">
      <w:pPr>
        <w:rPr>
          <w:lang w:val="en-US"/>
        </w:rPr>
      </w:pPr>
      <w:r>
        <w:rPr>
          <w:lang w:val="en-US"/>
        </w:rPr>
        <w:t>Figures 1 and 2 can be reproduced running the file “</w:t>
      </w:r>
      <w:proofErr w:type="spellStart"/>
      <w:r>
        <w:rPr>
          <w:lang w:val="en-US"/>
        </w:rPr>
        <w:t>MainProgram.m</w:t>
      </w:r>
      <w:proofErr w:type="spellEnd"/>
      <w:r>
        <w:rPr>
          <w:lang w:val="en-US"/>
        </w:rPr>
        <w:t>” in the folder “Simple model”. To reproduce the figures in the exact same position as in the published paper requires maximizing the graph window</w:t>
      </w:r>
      <w:r w:rsidR="00762EB7">
        <w:rPr>
          <w:lang w:val="en-US"/>
        </w:rPr>
        <w:t>,</w:t>
      </w:r>
      <w:r>
        <w:rPr>
          <w:lang w:val="en-US"/>
        </w:rPr>
        <w:t xml:space="preserve"> manually rotating the 3D figures</w:t>
      </w:r>
      <w:r w:rsidR="00762EB7">
        <w:rPr>
          <w:lang w:val="en-US"/>
        </w:rPr>
        <w:t xml:space="preserve"> and adjusting the</w:t>
      </w:r>
      <w:r>
        <w:rPr>
          <w:lang w:val="en-US"/>
        </w:rPr>
        <w:t xml:space="preserve"> </w:t>
      </w:r>
      <w:r w:rsidR="00762EB7">
        <w:rPr>
          <w:lang w:val="en-US"/>
        </w:rPr>
        <w:t>a</w:t>
      </w:r>
      <w:r>
        <w:rPr>
          <w:lang w:val="en-US"/>
        </w:rPr>
        <w:t>rrows.</w:t>
      </w:r>
      <w:r w:rsidR="002E3AFE">
        <w:rPr>
          <w:lang w:val="en-US"/>
        </w:rPr>
        <w:t xml:space="preserve"> With the processor specified above it takes approximately 1 hour to execute the code.</w:t>
      </w:r>
    </w:p>
    <w:p w14:paraId="1C14AC66" w14:textId="232B3BD3" w:rsidR="00657AC4" w:rsidRDefault="00657AC4" w:rsidP="00657AC4">
      <w:pPr>
        <w:rPr>
          <w:lang w:val="en-US"/>
        </w:rPr>
      </w:pPr>
      <w:r>
        <w:rPr>
          <w:lang w:val="en-US"/>
        </w:rPr>
        <w:t xml:space="preserve">The calibration targets in </w:t>
      </w:r>
      <w:r w:rsidR="001E27EC">
        <w:rPr>
          <w:lang w:val="en-US"/>
        </w:rPr>
        <w:t xml:space="preserve">Panel B of </w:t>
      </w:r>
      <w:r>
        <w:rPr>
          <w:lang w:val="en-US"/>
        </w:rPr>
        <w:t xml:space="preserve">the </w:t>
      </w:r>
      <w:r w:rsidR="001E27EC">
        <w:rPr>
          <w:lang w:val="en-US"/>
        </w:rPr>
        <w:t xml:space="preserve">Online </w:t>
      </w:r>
      <w:r>
        <w:rPr>
          <w:lang w:val="en-US"/>
        </w:rPr>
        <w:t>Appendix Table A.1 can be obtained by running the file “</w:t>
      </w:r>
      <w:r w:rsidR="00F1688F">
        <w:rPr>
          <w:lang w:val="en-US"/>
        </w:rPr>
        <w:t>TableA1</w:t>
      </w:r>
      <w:r>
        <w:rPr>
          <w:lang w:val="en-US"/>
        </w:rPr>
        <w:t>calibration.m” in the folder “Extended model”.</w:t>
      </w:r>
    </w:p>
    <w:p w14:paraId="4F5E2C84" w14:textId="7F267AD8" w:rsidR="00657AC4" w:rsidRDefault="00657AC4" w:rsidP="00657AC4">
      <w:pPr>
        <w:rPr>
          <w:lang w:val="en-US"/>
        </w:rPr>
      </w:pPr>
      <w:r>
        <w:rPr>
          <w:lang w:val="en-US"/>
        </w:rPr>
        <w:t>Figures 3 to Figure 5 and the figures in the online appendix A</w:t>
      </w:r>
      <w:r w:rsidR="008A4E5D">
        <w:rPr>
          <w:lang w:val="en-US"/>
        </w:rPr>
        <w:t>.</w:t>
      </w:r>
      <w:r>
        <w:rPr>
          <w:lang w:val="en-US"/>
        </w:rPr>
        <w:t>1 to A</w:t>
      </w:r>
      <w:r w:rsidR="008A4E5D">
        <w:rPr>
          <w:lang w:val="en-US"/>
        </w:rPr>
        <w:t>.4</w:t>
      </w:r>
      <w:r>
        <w:rPr>
          <w:lang w:val="en-US"/>
        </w:rPr>
        <w:t xml:space="preserve"> can be obtained by running the files figure3.m, figure4.m, etc. in the folder “Extended model”.</w:t>
      </w:r>
    </w:p>
    <w:p w14:paraId="690B0686" w14:textId="2EA69400" w:rsidR="00657AC4" w:rsidRPr="00657AC4" w:rsidRDefault="00657AC4">
      <w:pPr>
        <w:rPr>
          <w:lang w:val="en-US"/>
        </w:rPr>
      </w:pPr>
    </w:p>
    <w:sectPr w:rsidR="00657AC4" w:rsidRPr="00657A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1FB"/>
    <w:rsid w:val="001E27EC"/>
    <w:rsid w:val="00222085"/>
    <w:rsid w:val="002E3AFE"/>
    <w:rsid w:val="004A115D"/>
    <w:rsid w:val="00657AC4"/>
    <w:rsid w:val="00762EB7"/>
    <w:rsid w:val="008A4E5D"/>
    <w:rsid w:val="009B5285"/>
    <w:rsid w:val="00BE5467"/>
    <w:rsid w:val="00D26E25"/>
    <w:rsid w:val="00E06030"/>
    <w:rsid w:val="00F1688F"/>
    <w:rsid w:val="00FC11FB"/>
    <w:rsid w:val="00FD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26C2"/>
  <w15:chartTrackingRefBased/>
  <w15:docId w15:val="{F58EDF9E-A224-40DE-AFE0-7B4B0BAF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156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Danmarks Nationalbank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Maurizio Marco Faccini</dc:creator>
  <cp:keywords/>
  <dc:description/>
  <cp:lastModifiedBy>Renato Maurizio Marco Faccini</cp:lastModifiedBy>
  <cp:revision>11</cp:revision>
  <dcterms:created xsi:type="dcterms:W3CDTF">2021-10-22T08:34:00Z</dcterms:created>
  <dcterms:modified xsi:type="dcterms:W3CDTF">2021-11-12T13:51:00Z</dcterms:modified>
</cp:coreProperties>
</file>